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3768D" w14:textId="6A87E5AA" w:rsidR="00633A10" w:rsidRDefault="00633A10" w:rsidP="00633A10">
      <w:pPr>
        <w:rPr>
          <w:b/>
          <w:bCs/>
          <w:noProof/>
        </w:rPr>
      </w:pPr>
    </w:p>
    <w:p w14:paraId="35A9121B" w14:textId="42F92686" w:rsidR="00FF6DFB" w:rsidRDefault="00FF6DFB" w:rsidP="00633A10">
      <w:pPr>
        <w:rPr>
          <w:b/>
          <w:bCs/>
          <w:noProof/>
        </w:rPr>
      </w:pPr>
    </w:p>
    <w:p w14:paraId="55867702" w14:textId="21CE9506" w:rsidR="00FF6DFB" w:rsidRDefault="00FF6DFB" w:rsidP="00633A10">
      <w:pPr>
        <w:rPr>
          <w:b/>
          <w:bCs/>
          <w:noProof/>
        </w:rPr>
      </w:pPr>
    </w:p>
    <w:p w14:paraId="1A34EFBE" w14:textId="79AE0D1C" w:rsidR="00FF6DFB" w:rsidRDefault="00166027" w:rsidP="00633A10">
      <w:pPr>
        <w:rPr>
          <w:b/>
          <w:bCs/>
          <w:noProof/>
        </w:rPr>
      </w:pPr>
      <w:r w:rsidRPr="00166027">
        <w:rPr>
          <w:b/>
          <w:bCs/>
          <w:noProof/>
        </w:rPr>
        <w:drawing>
          <wp:anchor distT="0" distB="0" distL="114300" distR="114300" simplePos="0" relativeHeight="251659268" behindDoc="1" locked="0" layoutInCell="1" allowOverlap="1" wp14:anchorId="2C66EE55" wp14:editId="64C06725">
            <wp:simplePos x="0" y="0"/>
            <wp:positionH relativeFrom="margin">
              <wp:align>right</wp:align>
            </wp:positionH>
            <wp:positionV relativeFrom="paragraph">
              <wp:posOffset>8255</wp:posOffset>
            </wp:positionV>
            <wp:extent cx="4383538" cy="4346390"/>
            <wp:effectExtent l="0" t="0" r="0" b="0"/>
            <wp:wrapNone/>
            <wp:docPr id="17" name="Picture 16" descr="Shape, arrow&#10;&#10;Description automatically generated">
              <a:extLst xmlns:a="http://schemas.openxmlformats.org/drawingml/2006/main">
                <a:ext uri="{FF2B5EF4-FFF2-40B4-BE49-F238E27FC236}">
                  <a16:creationId xmlns:a16="http://schemas.microsoft.com/office/drawing/2014/main" id="{E7535B5C-3FE3-054A-9E43-353078B04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hape, arrow&#10;&#10;Description automatically generated">
                      <a:extLst>
                        <a:ext uri="{FF2B5EF4-FFF2-40B4-BE49-F238E27FC236}">
                          <a16:creationId xmlns:a16="http://schemas.microsoft.com/office/drawing/2014/main" id="{E7535B5C-3FE3-054A-9E43-353078B04B6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3538" cy="4346390"/>
                    </a:xfrm>
                    <a:prstGeom prst="rect">
                      <a:avLst/>
                    </a:prstGeom>
                  </pic:spPr>
                </pic:pic>
              </a:graphicData>
            </a:graphic>
          </wp:anchor>
        </w:drawing>
      </w:r>
    </w:p>
    <w:p w14:paraId="12C17395" w14:textId="2A928D35" w:rsidR="00FF6DFB" w:rsidRDefault="00FF6DFB" w:rsidP="00633A10">
      <w:pPr>
        <w:rPr>
          <w:b/>
          <w:bCs/>
          <w:noProof/>
        </w:rPr>
      </w:pPr>
    </w:p>
    <w:p w14:paraId="05584377" w14:textId="5708C862" w:rsidR="00FF6DFB" w:rsidRDefault="00166027" w:rsidP="00633A10">
      <w:pPr>
        <w:rPr>
          <w:b/>
          <w:bCs/>
          <w:noProof/>
        </w:rPr>
      </w:pPr>
      <w:r w:rsidRPr="00801665">
        <w:rPr>
          <w:b/>
          <w:bCs/>
          <w:noProof/>
        </w:rPr>
        <mc:AlternateContent>
          <mc:Choice Requires="wps">
            <w:drawing>
              <wp:anchor distT="0" distB="0" distL="114300" distR="114300" simplePos="0" relativeHeight="251658240" behindDoc="0" locked="0" layoutInCell="1" allowOverlap="1" wp14:anchorId="2B4E69FF" wp14:editId="557616F4">
                <wp:simplePos x="0" y="0"/>
                <wp:positionH relativeFrom="column">
                  <wp:posOffset>104775</wp:posOffset>
                </wp:positionH>
                <wp:positionV relativeFrom="paragraph">
                  <wp:posOffset>10160</wp:posOffset>
                </wp:positionV>
                <wp:extent cx="3677980" cy="2194859"/>
                <wp:effectExtent l="0" t="0" r="0" b="0"/>
                <wp:wrapNone/>
                <wp:docPr id="2" name="Text Placeholder 1">
                  <a:extLst xmlns:a="http://schemas.openxmlformats.org/drawingml/2006/main">
                    <a:ext uri="{FF2B5EF4-FFF2-40B4-BE49-F238E27FC236}">
                      <a16:creationId xmlns:a16="http://schemas.microsoft.com/office/drawing/2014/main" id="{6C6191BA-491B-79FB-67FA-19270D1B271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77980" cy="2194859"/>
                        </a:xfrm>
                        <a:prstGeom prst="rect">
                          <a:avLst/>
                        </a:prstGeom>
                      </wps:spPr>
                      <wps:txbx>
                        <w:txbxContent>
                          <w:p w14:paraId="00499049" w14:textId="77777777" w:rsidR="00801665" w:rsidRDefault="00801665" w:rsidP="00801665">
                            <w:pPr>
                              <w:spacing w:before="113" w:line="563" w:lineRule="exact"/>
                              <w:rPr>
                                <w:rFonts w:hAnsi="Calibri" w:cs="Arial"/>
                                <w:b/>
                                <w:bCs/>
                                <w:color w:val="F8AB00"/>
                                <w:kern w:val="24"/>
                                <w:sz w:val="52"/>
                                <w:szCs w:val="52"/>
                              </w:rPr>
                            </w:pPr>
                            <w:r>
                              <w:rPr>
                                <w:rFonts w:hAnsi="Calibri" w:cs="Arial"/>
                                <w:b/>
                                <w:bCs/>
                                <w:color w:val="F8AB00"/>
                                <w:kern w:val="24"/>
                                <w:sz w:val="52"/>
                                <w:szCs w:val="52"/>
                              </w:rPr>
                              <w:t>Income Protection</w:t>
                            </w:r>
                          </w:p>
                        </w:txbxContent>
                      </wps:txbx>
                      <wps:bodyPr vert="horz" lIns="0" tIns="0" rIns="0" bIns="0" rtlCol="0" anchor="b" anchorCtr="0">
                        <a:noAutofit/>
                      </wps:bodyPr>
                    </wps:wsp>
                  </a:graphicData>
                </a:graphic>
              </wp:anchor>
            </w:drawing>
          </mc:Choice>
          <mc:Fallback>
            <w:pict>
              <v:rect w14:anchorId="2B4E69FF" id="Text Placeholder 1" o:spid="_x0000_s1026" style="position:absolute;margin-left:8.25pt;margin-top:.8pt;width:289.6pt;height:172.8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" filled="f" stroked="f">
                <o:lock v:ext="edit" grouping="t"/>
                <v:textbox inset="0,0,0,0">
                  <w:txbxContent>
                    <w:p w14:paraId="00499049" w14:textId="77777777" w:rsidR="00801665" w:rsidRDefault="00801665" w:rsidP="00801665">
                      <w:pPr>
                        <w:spacing w:before="113" w:line="563" w:lineRule="exact"/>
                        <w:rPr>
                          <w:rFonts w:hAnsi="Calibri" w:cs="Arial"/>
                          <w:b/>
                          <w:bCs/>
                          <w:color w:val="F8AB00"/>
                          <w:kern w:val="24"/>
                          <w:sz w:val="52"/>
                          <w:szCs w:val="52"/>
                        </w:rPr>
                      </w:pPr>
                      <w:r>
                        <w:rPr>
                          <w:rFonts w:hAnsi="Calibri" w:cs="Arial"/>
                          <w:b/>
                          <w:bCs/>
                          <w:color w:val="F8AB00"/>
                          <w:kern w:val="24"/>
                          <w:sz w:val="52"/>
                          <w:szCs w:val="52"/>
                        </w:rPr>
                        <w:t>Income Protection</w:t>
                      </w:r>
                    </w:p>
                  </w:txbxContent>
                </v:textbox>
              </v:rect>
            </w:pict>
          </mc:Fallback>
        </mc:AlternateContent>
      </w:r>
    </w:p>
    <w:p w14:paraId="541C4C7B" w14:textId="70F171F7" w:rsidR="00FF6DFB" w:rsidRDefault="002E3319" w:rsidP="00633A10">
      <w:pPr>
        <w:rPr>
          <w:b/>
          <w:bCs/>
          <w:noProof/>
        </w:rPr>
      </w:pPr>
      <w:r w:rsidRPr="00801665">
        <w:rPr>
          <w:b/>
          <w:bCs/>
          <w:noProof/>
        </w:rPr>
        <w:drawing>
          <wp:anchor distT="0" distB="0" distL="114300" distR="114300" simplePos="0" relativeHeight="251658242" behindDoc="0" locked="0" layoutInCell="1" allowOverlap="1" wp14:anchorId="184DFF35" wp14:editId="3BF152E1">
            <wp:simplePos x="0" y="0"/>
            <wp:positionH relativeFrom="column">
              <wp:posOffset>10160</wp:posOffset>
            </wp:positionH>
            <wp:positionV relativeFrom="paragraph">
              <wp:posOffset>6985</wp:posOffset>
            </wp:positionV>
            <wp:extent cx="3641725" cy="1169035"/>
            <wp:effectExtent l="0" t="0" r="0" b="0"/>
            <wp:wrapNone/>
            <wp:docPr id="4" name="Picture 3" descr="A blue text on a black background&#10;&#10;AI-generated content may be incorrect.">
              <a:extLst xmlns:a="http://schemas.openxmlformats.org/drawingml/2006/main">
                <a:ext uri="{FF2B5EF4-FFF2-40B4-BE49-F238E27FC236}">
                  <a16:creationId xmlns:a16="http://schemas.microsoft.com/office/drawing/2014/main" id="{3D5B04A8-70ED-D62F-A6F8-2663344A8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text on a black background&#10;&#10;AI-generated content may be incorrect.">
                      <a:extLst>
                        <a:ext uri="{FF2B5EF4-FFF2-40B4-BE49-F238E27FC236}">
                          <a16:creationId xmlns:a16="http://schemas.microsoft.com/office/drawing/2014/main" id="{3D5B04A8-70ED-D62F-A6F8-2663344A8CAA}"/>
                        </a:ext>
                      </a:extLst>
                    </pic:cNvPr>
                    <pic:cNvPicPr>
                      <a:picLocks noChangeAspect="1"/>
                    </pic:cNvPicPr>
                  </pic:nvPicPr>
                  <pic:blipFill>
                    <a:blip r:embed="rId9"/>
                    <a:srcRect/>
                    <a:stretch/>
                  </pic:blipFill>
                  <pic:spPr>
                    <a:xfrm>
                      <a:off x="0" y="0"/>
                      <a:ext cx="3641725" cy="1169035"/>
                    </a:xfrm>
                    <a:prstGeom prst="rect">
                      <a:avLst/>
                    </a:prstGeom>
                  </pic:spPr>
                </pic:pic>
              </a:graphicData>
            </a:graphic>
            <wp14:sizeRelH relativeFrom="margin">
              <wp14:pctWidth>0</wp14:pctWidth>
            </wp14:sizeRelH>
            <wp14:sizeRelV relativeFrom="margin">
              <wp14:pctHeight>0</wp14:pctHeight>
            </wp14:sizeRelV>
          </wp:anchor>
        </w:drawing>
      </w:r>
    </w:p>
    <w:p w14:paraId="3C53BC6C" w14:textId="7AED90CC" w:rsidR="00FF6DFB" w:rsidRDefault="00FF6DFB" w:rsidP="00633A10">
      <w:pPr>
        <w:rPr>
          <w:b/>
          <w:bCs/>
          <w:noProof/>
        </w:rPr>
      </w:pPr>
    </w:p>
    <w:p w14:paraId="35CD5EF9" w14:textId="77777777" w:rsidR="00FF6DFB" w:rsidRDefault="00FF6DFB" w:rsidP="00633A10">
      <w:pPr>
        <w:rPr>
          <w:b/>
          <w:bCs/>
          <w:noProof/>
        </w:rPr>
      </w:pPr>
    </w:p>
    <w:p w14:paraId="6DC7BE8E" w14:textId="77777777" w:rsidR="00FF6DFB" w:rsidRDefault="00FF6DFB" w:rsidP="00633A10">
      <w:pPr>
        <w:rPr>
          <w:b/>
          <w:bCs/>
          <w:noProof/>
        </w:rPr>
      </w:pPr>
    </w:p>
    <w:p w14:paraId="74D377B3" w14:textId="77777777" w:rsidR="00FF6DFB" w:rsidRDefault="00FF6DFB" w:rsidP="00633A10">
      <w:pPr>
        <w:rPr>
          <w:b/>
          <w:bCs/>
          <w:noProof/>
        </w:rPr>
      </w:pPr>
    </w:p>
    <w:p w14:paraId="03FF1C65" w14:textId="77777777" w:rsidR="00FF6DFB" w:rsidRDefault="00FF6DFB" w:rsidP="00633A10">
      <w:pPr>
        <w:rPr>
          <w:b/>
          <w:bCs/>
          <w:noProof/>
        </w:rPr>
      </w:pPr>
    </w:p>
    <w:p w14:paraId="73660EE1" w14:textId="39078641" w:rsidR="00FF6DFB" w:rsidRDefault="00166027" w:rsidP="00633A10">
      <w:pPr>
        <w:rPr>
          <w:b/>
          <w:bCs/>
          <w:noProof/>
        </w:rPr>
      </w:pPr>
      <w:r w:rsidRPr="00801665">
        <w:rPr>
          <w:b/>
          <w:bCs/>
          <w:noProof/>
        </w:rPr>
        <mc:AlternateContent>
          <mc:Choice Requires="wps">
            <w:drawing>
              <wp:anchor distT="0" distB="0" distL="114300" distR="114300" simplePos="0" relativeHeight="251658241" behindDoc="0" locked="0" layoutInCell="1" allowOverlap="1" wp14:anchorId="4AD3E9FE" wp14:editId="1654527E">
                <wp:simplePos x="0" y="0"/>
                <wp:positionH relativeFrom="column">
                  <wp:posOffset>123825</wp:posOffset>
                </wp:positionH>
                <wp:positionV relativeFrom="paragraph">
                  <wp:posOffset>13335</wp:posOffset>
                </wp:positionV>
                <wp:extent cx="3366614" cy="657225"/>
                <wp:effectExtent l="0" t="0" r="0" b="0"/>
                <wp:wrapNone/>
                <wp:docPr id="3" name="Text Placeholder 2">
                  <a:extLst xmlns:a="http://schemas.openxmlformats.org/drawingml/2006/main">
                    <a:ext uri="{FF2B5EF4-FFF2-40B4-BE49-F238E27FC236}">
                      <a16:creationId xmlns:a16="http://schemas.microsoft.com/office/drawing/2014/main" id="{711586AD-0800-7B54-D266-69F268E4844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66614" cy="657225"/>
                        </a:xfrm>
                        <a:prstGeom prst="rect">
                          <a:avLst/>
                        </a:prstGeom>
                      </wps:spPr>
                      <wps:txbx>
                        <w:txbxContent>
                          <w:p w14:paraId="6E8BC99E" w14:textId="667D7917" w:rsidR="00801665" w:rsidRDefault="00166027" w:rsidP="00801665">
                            <w:pPr>
                              <w:spacing w:before="113"/>
                              <w:rPr>
                                <w:rFonts w:hAnsi="Calibri" w:cs="Arial"/>
                                <w:b/>
                                <w:bCs/>
                                <w:color w:val="454E50"/>
                                <w:kern w:val="24"/>
                                <w:sz w:val="48"/>
                                <w:szCs w:val="48"/>
                              </w:rPr>
                            </w:pPr>
                            <w:r>
                              <w:rPr>
                                <w:rFonts w:hAnsi="Calibri" w:cs="Arial"/>
                                <w:b/>
                                <w:bCs/>
                                <w:color w:val="454E50"/>
                                <w:kern w:val="24"/>
                                <w:sz w:val="48"/>
                                <w:szCs w:val="48"/>
                              </w:rPr>
                              <w:t>Pre-Underwriting Guide</w:t>
                            </w:r>
                          </w:p>
                        </w:txbxContent>
                      </wps:txbx>
                      <wps:bodyPr vert="horz" lIns="0" tIns="0" rIns="0" bIns="0" rtlCol="0" anchor="t" anchorCtr="0">
                        <a:noAutofit/>
                      </wps:bodyPr>
                    </wps:wsp>
                  </a:graphicData>
                </a:graphic>
                <wp14:sizeRelV relativeFrom="margin">
                  <wp14:pctHeight>0</wp14:pctHeight>
                </wp14:sizeRelV>
              </wp:anchor>
            </w:drawing>
          </mc:Choice>
          <mc:Fallback>
            <w:pict>
              <v:rect w14:anchorId="4AD3E9FE" id="Text Placeholder 2" o:spid="_x0000_s1027" style="position:absolute;margin-left:9.75pt;margin-top:1.05pt;width:265.1pt;height:51.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" filled="f" stroked="f">
                <o:lock v:ext="edit" grouping="t"/>
                <v:textbox inset="0,0,0,0">
                  <w:txbxContent>
                    <w:p w14:paraId="6E8BC99E" w14:textId="667D7917" w:rsidR="00801665" w:rsidRDefault="00166027" w:rsidP="00801665">
                      <w:pPr>
                        <w:spacing w:before="113"/>
                        <w:rPr>
                          <w:rFonts w:hAnsi="Calibri" w:cs="Arial"/>
                          <w:b/>
                          <w:bCs/>
                          <w:color w:val="454E50"/>
                          <w:kern w:val="24"/>
                          <w:sz w:val="48"/>
                          <w:szCs w:val="48"/>
                        </w:rPr>
                      </w:pPr>
                      <w:r>
                        <w:rPr>
                          <w:rFonts w:hAnsi="Calibri" w:cs="Arial"/>
                          <w:b/>
                          <w:bCs/>
                          <w:color w:val="454E50"/>
                          <w:kern w:val="24"/>
                          <w:sz w:val="48"/>
                          <w:szCs w:val="48"/>
                        </w:rPr>
                        <w:t>Pre-Underwriting Guide</w:t>
                      </w:r>
                    </w:p>
                  </w:txbxContent>
                </v:textbox>
              </v:rect>
            </w:pict>
          </mc:Fallback>
        </mc:AlternateContent>
      </w:r>
    </w:p>
    <w:p w14:paraId="489E6504" w14:textId="77777777" w:rsidR="00FF6DFB" w:rsidRDefault="00FF6DFB" w:rsidP="00633A10">
      <w:pPr>
        <w:rPr>
          <w:b/>
          <w:bCs/>
          <w:noProof/>
        </w:rPr>
      </w:pPr>
    </w:p>
    <w:p w14:paraId="1CF5E5B7" w14:textId="77777777" w:rsidR="00166027" w:rsidRDefault="00166027" w:rsidP="00633A10">
      <w:pPr>
        <w:rPr>
          <w:b/>
          <w:bCs/>
          <w:noProof/>
        </w:rPr>
      </w:pPr>
    </w:p>
    <w:p w14:paraId="3F9BF02B" w14:textId="77777777" w:rsidR="00FF6DFB" w:rsidRDefault="00FF6DFB" w:rsidP="00633A10">
      <w:pPr>
        <w:rPr>
          <w:b/>
          <w:bCs/>
          <w:noProof/>
        </w:rPr>
      </w:pPr>
    </w:p>
    <w:p w14:paraId="6C83D656" w14:textId="77777777" w:rsidR="00FF6DFB" w:rsidRDefault="00FF6DFB" w:rsidP="00633A10">
      <w:pPr>
        <w:rPr>
          <w:b/>
          <w:bCs/>
          <w:noProof/>
        </w:rPr>
      </w:pPr>
    </w:p>
    <w:p w14:paraId="3DDB5991" w14:textId="41A581F2" w:rsidR="00632E6B" w:rsidRDefault="00632E6B" w:rsidP="00633A10">
      <w:pPr>
        <w:rPr>
          <w:b/>
          <w:bCs/>
          <w:noProof/>
        </w:rPr>
      </w:pPr>
    </w:p>
    <w:p w14:paraId="00F26600" w14:textId="00171C9A" w:rsidR="00632E6B" w:rsidRDefault="00632E6B" w:rsidP="00633A10">
      <w:pPr>
        <w:rPr>
          <w:b/>
          <w:bCs/>
          <w:noProof/>
        </w:rPr>
      </w:pPr>
    </w:p>
    <w:p w14:paraId="42223CE7" w14:textId="77777777" w:rsidR="0004263E" w:rsidRDefault="0004263E" w:rsidP="000D7D15">
      <w:pPr>
        <w:rPr>
          <w:noProof/>
          <w:sz w:val="24"/>
          <w:szCs w:val="24"/>
        </w:rPr>
      </w:pPr>
    </w:p>
    <w:p w14:paraId="7FFFA6F8" w14:textId="77777777" w:rsidR="0004263E" w:rsidRDefault="0004263E" w:rsidP="000D7D15">
      <w:pPr>
        <w:rPr>
          <w:noProof/>
          <w:sz w:val="24"/>
          <w:szCs w:val="24"/>
        </w:rPr>
      </w:pPr>
    </w:p>
    <w:p w14:paraId="627303E4" w14:textId="36874F72" w:rsidR="00166027" w:rsidRPr="0004263E" w:rsidRDefault="00166027" w:rsidP="000D7D15">
      <w:pPr>
        <w:rPr>
          <w:noProof/>
          <w:sz w:val="24"/>
          <w:szCs w:val="24"/>
        </w:rPr>
      </w:pPr>
      <w:r w:rsidRPr="0004263E">
        <w:rPr>
          <w:noProof/>
          <w:sz w:val="24"/>
          <w:szCs w:val="24"/>
        </w:rPr>
        <w:t>The information contained in this guide can be used only for pre underwriting and is not meant as a definitive manual for making decisions. All policies must still be submitted to underwriting so that an underwriter can subsequently make a final decision once all information has been received.</w:t>
      </w:r>
    </w:p>
    <w:p w14:paraId="4C73D1F4" w14:textId="4BD445CD" w:rsidR="00166027" w:rsidRPr="0004263E" w:rsidRDefault="00166027" w:rsidP="000D7D15">
      <w:pPr>
        <w:rPr>
          <w:noProof/>
          <w:sz w:val="24"/>
          <w:szCs w:val="24"/>
        </w:rPr>
      </w:pPr>
      <w:r w:rsidRPr="0004263E">
        <w:rPr>
          <w:noProof/>
          <w:sz w:val="24"/>
          <w:szCs w:val="24"/>
        </w:rPr>
        <w:t>Please refer to underwriting if you feel a query falls outside these descriptions. The guide provides information on how we may treat certain medical conditions only and should also be used in conjunction with the Society’s list of occupations, and sports and recreational activities list (available on the Society’s website) in order to establish a full picture of the risk factors and possible limits to cover that may be applicable. Please also note that the information contained in this guide is up to date at the time of writing, but this may be changed subsequently based on claims experience, changes to terms and conditions, and updates to current clinical guidelines regarding certain medical conditions.</w:t>
      </w:r>
    </w:p>
    <w:p w14:paraId="1BF55A0D" w14:textId="77777777" w:rsidR="0004263E" w:rsidRDefault="0004263E" w:rsidP="0004263E">
      <w:pPr>
        <w:jc w:val="center"/>
        <w:rPr>
          <w:noProof/>
          <w:sz w:val="24"/>
          <w:szCs w:val="24"/>
        </w:rPr>
      </w:pPr>
    </w:p>
    <w:p w14:paraId="40BA2EE3" w14:textId="77777777" w:rsidR="0004263E" w:rsidRPr="0004263E" w:rsidRDefault="0004263E" w:rsidP="0004263E">
      <w:pPr>
        <w:jc w:val="center"/>
        <w:rPr>
          <w:noProof/>
          <w:sz w:val="24"/>
          <w:szCs w:val="24"/>
        </w:rPr>
      </w:pPr>
    </w:p>
    <w:p w14:paraId="1935644E" w14:textId="3EC8D7A5" w:rsidR="0004263E" w:rsidRPr="0004263E" w:rsidRDefault="0004263E" w:rsidP="0004263E">
      <w:pPr>
        <w:jc w:val="center"/>
        <w:rPr>
          <w:b/>
          <w:bCs/>
          <w:noProof/>
          <w:sz w:val="24"/>
          <w:szCs w:val="24"/>
        </w:rPr>
      </w:pPr>
      <w:r w:rsidRPr="0004263E">
        <w:rPr>
          <w:b/>
          <w:bCs/>
          <w:noProof/>
          <w:sz w:val="24"/>
          <w:szCs w:val="24"/>
        </w:rPr>
        <w:t>Contact us</w:t>
      </w:r>
    </w:p>
    <w:p w14:paraId="0B54A473" w14:textId="57AB7F21" w:rsidR="0004263E" w:rsidRPr="0004263E" w:rsidRDefault="0004263E" w:rsidP="0004263E">
      <w:pPr>
        <w:spacing w:after="0" w:line="240" w:lineRule="auto"/>
        <w:jc w:val="center"/>
        <w:rPr>
          <w:noProof/>
          <w:sz w:val="24"/>
          <w:szCs w:val="24"/>
        </w:rPr>
      </w:pPr>
      <w:r w:rsidRPr="0004263E">
        <w:rPr>
          <w:noProof/>
          <w:sz w:val="24"/>
          <w:szCs w:val="24"/>
        </w:rPr>
        <w:t>We understand that no two people are the same and that everyone is unique.</w:t>
      </w:r>
    </w:p>
    <w:p w14:paraId="4935873A" w14:textId="6938E755" w:rsidR="0004263E" w:rsidRPr="0004263E" w:rsidRDefault="0004263E" w:rsidP="0004263E">
      <w:pPr>
        <w:spacing w:after="0" w:line="240" w:lineRule="auto"/>
        <w:jc w:val="center"/>
        <w:rPr>
          <w:noProof/>
          <w:sz w:val="24"/>
          <w:szCs w:val="24"/>
        </w:rPr>
      </w:pPr>
      <w:r w:rsidRPr="0004263E">
        <w:rPr>
          <w:noProof/>
          <w:sz w:val="24"/>
          <w:szCs w:val="24"/>
        </w:rPr>
        <w:t>These guidelines give an indication of the Society’s approach to assessing</w:t>
      </w:r>
    </w:p>
    <w:p w14:paraId="2591966D" w14:textId="470F999F" w:rsidR="0004263E" w:rsidRPr="0004263E" w:rsidRDefault="0004263E" w:rsidP="0004263E">
      <w:pPr>
        <w:spacing w:after="0" w:line="240" w:lineRule="auto"/>
        <w:jc w:val="center"/>
        <w:rPr>
          <w:noProof/>
          <w:sz w:val="24"/>
          <w:szCs w:val="24"/>
        </w:rPr>
      </w:pPr>
      <w:r w:rsidRPr="0004263E">
        <w:rPr>
          <w:noProof/>
          <w:sz w:val="24"/>
          <w:szCs w:val="24"/>
        </w:rPr>
        <w:t>common risks. However, we will always assess each applicant as an</w:t>
      </w:r>
    </w:p>
    <w:p w14:paraId="5D44A066" w14:textId="3C853843" w:rsidR="0004263E" w:rsidRPr="0004263E" w:rsidRDefault="0004263E" w:rsidP="0004263E">
      <w:pPr>
        <w:spacing w:after="0" w:line="240" w:lineRule="auto"/>
        <w:jc w:val="center"/>
        <w:rPr>
          <w:noProof/>
          <w:sz w:val="24"/>
          <w:szCs w:val="24"/>
        </w:rPr>
      </w:pPr>
      <w:r w:rsidRPr="0004263E">
        <w:rPr>
          <w:noProof/>
          <w:sz w:val="24"/>
          <w:szCs w:val="24"/>
        </w:rPr>
        <w:t>individual and look to offer the best terms possible. Our underwriters are</w:t>
      </w:r>
    </w:p>
    <w:p w14:paraId="2CCA49DD" w14:textId="5DCC3176" w:rsidR="0004263E" w:rsidRPr="0004263E" w:rsidRDefault="0004263E" w:rsidP="0004263E">
      <w:pPr>
        <w:spacing w:after="0" w:line="240" w:lineRule="auto"/>
        <w:jc w:val="center"/>
        <w:rPr>
          <w:noProof/>
          <w:sz w:val="24"/>
          <w:szCs w:val="24"/>
        </w:rPr>
      </w:pPr>
      <w:r w:rsidRPr="0004263E">
        <w:rPr>
          <w:noProof/>
          <w:sz w:val="24"/>
          <w:szCs w:val="24"/>
        </w:rPr>
        <w:t>happy to talk to you directly during any stage of the application process;</w:t>
      </w:r>
    </w:p>
    <w:p w14:paraId="678070D5" w14:textId="7D9274DF" w:rsidR="0004263E" w:rsidRPr="0004263E" w:rsidRDefault="0004263E" w:rsidP="0004263E">
      <w:pPr>
        <w:spacing w:after="0" w:line="240" w:lineRule="auto"/>
        <w:jc w:val="center"/>
        <w:rPr>
          <w:noProof/>
          <w:sz w:val="24"/>
          <w:szCs w:val="24"/>
        </w:rPr>
      </w:pPr>
      <w:r w:rsidRPr="0004263E">
        <w:rPr>
          <w:noProof/>
          <w:sz w:val="24"/>
          <w:szCs w:val="24"/>
        </w:rPr>
        <w:t>either pre-sale or once our underwriting decision has been made. Our</w:t>
      </w:r>
    </w:p>
    <w:p w14:paraId="45759B82" w14:textId="769A9CA0" w:rsidR="0004263E" w:rsidRPr="0004263E" w:rsidRDefault="0004263E" w:rsidP="0004263E">
      <w:pPr>
        <w:spacing w:after="0" w:line="240" w:lineRule="auto"/>
        <w:jc w:val="center"/>
        <w:rPr>
          <w:noProof/>
          <w:sz w:val="24"/>
          <w:szCs w:val="24"/>
        </w:rPr>
      </w:pPr>
      <w:r w:rsidRPr="0004263E">
        <w:rPr>
          <w:noProof/>
          <w:sz w:val="24"/>
          <w:szCs w:val="24"/>
        </w:rPr>
        <w:t>underwriting team can be contacted on 0800 526 249 or 0161 428 1212,</w:t>
      </w:r>
    </w:p>
    <w:p w14:paraId="5C74B7DA" w14:textId="41ED4BF9" w:rsidR="0004263E" w:rsidRPr="0004263E" w:rsidRDefault="0004263E" w:rsidP="0004263E">
      <w:pPr>
        <w:spacing w:after="0" w:line="240" w:lineRule="auto"/>
        <w:jc w:val="center"/>
        <w:rPr>
          <w:noProof/>
          <w:sz w:val="24"/>
          <w:szCs w:val="24"/>
        </w:rPr>
      </w:pPr>
      <w:r w:rsidRPr="0004263E">
        <w:rPr>
          <w:noProof/>
          <w:sz w:val="24"/>
          <w:szCs w:val="24"/>
        </w:rPr>
        <w:t>alternatively you can email us at underwriting@shepherds.co.u</w:t>
      </w:r>
      <w:r w:rsidRPr="0004263E">
        <w:rPr>
          <w:noProof/>
          <w:sz w:val="24"/>
          <w:szCs w:val="24"/>
        </w:rPr>
        <w:t>k</w:t>
      </w:r>
    </w:p>
    <w:p w14:paraId="06D151C6" w14:textId="77777777" w:rsidR="00166027" w:rsidRDefault="00166027" w:rsidP="000D7D15">
      <w:pPr>
        <w:rPr>
          <w:b/>
          <w:bCs/>
          <w:noProof/>
        </w:rPr>
      </w:pPr>
    </w:p>
    <w:p w14:paraId="0727FE19" w14:textId="77777777" w:rsidR="0004263E" w:rsidRDefault="0004263E" w:rsidP="000D7D15">
      <w:pPr>
        <w:rPr>
          <w:b/>
          <w:bCs/>
          <w:noProof/>
        </w:rPr>
      </w:pPr>
    </w:p>
    <w:p w14:paraId="02C812D5" w14:textId="31999A5D" w:rsidR="00AB3522" w:rsidRPr="0004263E" w:rsidRDefault="007735B7" w:rsidP="0004263E">
      <w:pPr>
        <w:pStyle w:val="Heading1"/>
        <w:rPr>
          <w:noProof/>
          <w:sz w:val="28"/>
          <w:szCs w:val="28"/>
        </w:rPr>
      </w:pPr>
      <w:bookmarkStart w:id="0" w:name="_Toc224126027"/>
      <w:r w:rsidRPr="0004263E">
        <w:rPr>
          <w:noProof/>
          <w:sz w:val="28"/>
          <w:szCs w:val="28"/>
        </w:rPr>
        <w:lastRenderedPageBreak/>
        <w:t>Eligibility</w:t>
      </w:r>
      <w:bookmarkEnd w:id="0"/>
    </w:p>
    <w:p w14:paraId="0ACB56E8" w14:textId="77777777" w:rsidR="0004263E" w:rsidRDefault="0004263E" w:rsidP="00633A10">
      <w:pPr>
        <w:rPr>
          <w:b/>
          <w:bCs/>
          <w:noProof/>
        </w:rPr>
      </w:pPr>
    </w:p>
    <w:p w14:paraId="182DDBE5" w14:textId="244BCB84" w:rsidR="007735B7" w:rsidRPr="0004263E" w:rsidRDefault="007735B7" w:rsidP="00633A10">
      <w:pPr>
        <w:rPr>
          <w:b/>
          <w:bCs/>
          <w:noProof/>
          <w:sz w:val="24"/>
          <w:szCs w:val="24"/>
        </w:rPr>
      </w:pPr>
      <w:r w:rsidRPr="0004263E">
        <w:rPr>
          <w:b/>
          <w:bCs/>
          <w:noProof/>
          <w:sz w:val="24"/>
          <w:szCs w:val="24"/>
        </w:rPr>
        <w:t>To apply for our income protection products, your client must satisfy the following criteria:</w:t>
      </w:r>
    </w:p>
    <w:p w14:paraId="300EBF97" w14:textId="77777777" w:rsidR="007735B7" w:rsidRPr="0004263E" w:rsidRDefault="007735B7" w:rsidP="007735B7">
      <w:pPr>
        <w:pStyle w:val="ListParagraph"/>
        <w:numPr>
          <w:ilvl w:val="0"/>
          <w:numId w:val="56"/>
        </w:numPr>
        <w:rPr>
          <w:noProof/>
          <w:sz w:val="24"/>
          <w:szCs w:val="24"/>
        </w:rPr>
      </w:pPr>
      <w:r w:rsidRPr="0004263E">
        <w:rPr>
          <w:noProof/>
          <w:sz w:val="24"/>
          <w:szCs w:val="24"/>
        </w:rPr>
        <w:t>Currently living in the UK</w:t>
      </w:r>
    </w:p>
    <w:p w14:paraId="11EC2FD3" w14:textId="1CFCF9FA" w:rsidR="007735B7" w:rsidRPr="0004263E" w:rsidRDefault="007735B7" w:rsidP="007735B7">
      <w:pPr>
        <w:pStyle w:val="ListParagraph"/>
        <w:numPr>
          <w:ilvl w:val="0"/>
          <w:numId w:val="56"/>
        </w:numPr>
        <w:rPr>
          <w:noProof/>
          <w:sz w:val="24"/>
          <w:szCs w:val="24"/>
        </w:rPr>
      </w:pPr>
      <w:r w:rsidRPr="0004263E">
        <w:rPr>
          <w:noProof/>
          <w:sz w:val="24"/>
          <w:szCs w:val="24"/>
        </w:rPr>
        <w:t>Must have lived in the UK for at least 6 months for the last two years</w:t>
      </w:r>
    </w:p>
    <w:p w14:paraId="5B2B026C" w14:textId="1FB3BF50" w:rsidR="007735B7" w:rsidRPr="0004263E" w:rsidRDefault="007735B7" w:rsidP="007735B7">
      <w:pPr>
        <w:pStyle w:val="ListParagraph"/>
        <w:numPr>
          <w:ilvl w:val="0"/>
          <w:numId w:val="56"/>
        </w:numPr>
        <w:rPr>
          <w:noProof/>
          <w:sz w:val="24"/>
          <w:szCs w:val="24"/>
        </w:rPr>
      </w:pPr>
      <w:r w:rsidRPr="0004263E">
        <w:rPr>
          <w:noProof/>
          <w:sz w:val="24"/>
          <w:szCs w:val="24"/>
        </w:rPr>
        <w:t>Registered with a UK medical practice for at least 24 months</w:t>
      </w:r>
    </w:p>
    <w:p w14:paraId="018F16C7" w14:textId="496001ED" w:rsidR="007735B7" w:rsidRPr="0004263E" w:rsidRDefault="007735B7" w:rsidP="007735B7">
      <w:pPr>
        <w:pStyle w:val="ListParagraph"/>
        <w:numPr>
          <w:ilvl w:val="0"/>
          <w:numId w:val="56"/>
        </w:numPr>
        <w:rPr>
          <w:noProof/>
          <w:sz w:val="24"/>
          <w:szCs w:val="24"/>
        </w:rPr>
      </w:pPr>
      <w:r w:rsidRPr="0004263E">
        <w:rPr>
          <w:noProof/>
          <w:sz w:val="24"/>
          <w:szCs w:val="24"/>
        </w:rPr>
        <w:t>Income is liable to UK tax and have a UK bank or building society account</w:t>
      </w:r>
    </w:p>
    <w:p w14:paraId="65C839B2" w14:textId="3AAA49EF" w:rsidR="007735B7" w:rsidRPr="0004263E" w:rsidRDefault="007735B7" w:rsidP="007735B7">
      <w:pPr>
        <w:pStyle w:val="ListParagraph"/>
        <w:numPr>
          <w:ilvl w:val="0"/>
          <w:numId w:val="56"/>
        </w:numPr>
        <w:rPr>
          <w:noProof/>
          <w:sz w:val="24"/>
          <w:szCs w:val="24"/>
        </w:rPr>
      </w:pPr>
      <w:r w:rsidRPr="0004263E">
        <w:rPr>
          <w:noProof/>
          <w:sz w:val="24"/>
          <w:szCs w:val="24"/>
        </w:rPr>
        <w:t>Must not be unemployed</w:t>
      </w:r>
    </w:p>
    <w:p w14:paraId="56EE5BBF" w14:textId="1F7D37DB" w:rsidR="007735B7" w:rsidRPr="0004263E" w:rsidRDefault="007735B7" w:rsidP="007735B7">
      <w:pPr>
        <w:pStyle w:val="ListParagraph"/>
        <w:numPr>
          <w:ilvl w:val="0"/>
          <w:numId w:val="56"/>
        </w:numPr>
        <w:rPr>
          <w:noProof/>
          <w:sz w:val="24"/>
          <w:szCs w:val="24"/>
        </w:rPr>
      </w:pPr>
      <w:r w:rsidRPr="0004263E">
        <w:rPr>
          <w:noProof/>
          <w:sz w:val="24"/>
          <w:szCs w:val="24"/>
        </w:rPr>
        <w:t>Must not be unable to work or working reduced hours due to sickness or accident</w:t>
      </w:r>
    </w:p>
    <w:p w14:paraId="7345E826" w14:textId="68B3C57B" w:rsidR="007735B7" w:rsidRPr="0004263E" w:rsidRDefault="007735B7" w:rsidP="007735B7">
      <w:pPr>
        <w:pStyle w:val="ListParagraph"/>
        <w:numPr>
          <w:ilvl w:val="0"/>
          <w:numId w:val="56"/>
        </w:numPr>
        <w:rPr>
          <w:noProof/>
          <w:sz w:val="24"/>
          <w:szCs w:val="24"/>
        </w:rPr>
      </w:pPr>
      <w:r w:rsidRPr="0004263E">
        <w:rPr>
          <w:noProof/>
          <w:sz w:val="24"/>
          <w:szCs w:val="24"/>
        </w:rPr>
        <w:t>The occupation(s) must not include any of the following:</w:t>
      </w:r>
    </w:p>
    <w:p w14:paraId="76FEF01A" w14:textId="7AB81F54" w:rsidR="007735B7" w:rsidRPr="0004263E" w:rsidRDefault="007735B7" w:rsidP="007735B7">
      <w:pPr>
        <w:pStyle w:val="ListParagraph"/>
        <w:numPr>
          <w:ilvl w:val="1"/>
          <w:numId w:val="56"/>
        </w:numPr>
        <w:rPr>
          <w:noProof/>
          <w:sz w:val="24"/>
          <w:szCs w:val="24"/>
        </w:rPr>
      </w:pPr>
      <w:r w:rsidRPr="0004263E">
        <w:rPr>
          <w:noProof/>
          <w:sz w:val="24"/>
          <w:szCs w:val="24"/>
        </w:rPr>
        <w:t>Working in any branch of the Armed Forces including Territorial Army</w:t>
      </w:r>
    </w:p>
    <w:p w14:paraId="2D4E1CFE" w14:textId="57A05DE1" w:rsidR="007735B7" w:rsidRPr="0004263E" w:rsidRDefault="007735B7" w:rsidP="007735B7">
      <w:pPr>
        <w:pStyle w:val="ListParagraph"/>
        <w:numPr>
          <w:ilvl w:val="1"/>
          <w:numId w:val="56"/>
        </w:numPr>
        <w:rPr>
          <w:noProof/>
          <w:sz w:val="24"/>
          <w:szCs w:val="24"/>
        </w:rPr>
      </w:pPr>
      <w:r w:rsidRPr="0004263E">
        <w:rPr>
          <w:noProof/>
          <w:sz w:val="24"/>
          <w:szCs w:val="24"/>
        </w:rPr>
        <w:t>Handling explosives</w:t>
      </w:r>
    </w:p>
    <w:p w14:paraId="29F0835E" w14:textId="2F21B7F6" w:rsidR="007735B7" w:rsidRPr="0004263E" w:rsidRDefault="007735B7" w:rsidP="007735B7">
      <w:pPr>
        <w:pStyle w:val="ListParagraph"/>
        <w:numPr>
          <w:ilvl w:val="1"/>
          <w:numId w:val="56"/>
        </w:numPr>
        <w:rPr>
          <w:noProof/>
          <w:sz w:val="24"/>
          <w:szCs w:val="24"/>
        </w:rPr>
      </w:pPr>
      <w:r w:rsidRPr="0004263E">
        <w:rPr>
          <w:noProof/>
          <w:sz w:val="24"/>
          <w:szCs w:val="24"/>
        </w:rPr>
        <w:t>Underwater duties</w:t>
      </w:r>
    </w:p>
    <w:p w14:paraId="2C688796" w14:textId="410B10D7" w:rsidR="007735B7" w:rsidRPr="0004263E" w:rsidRDefault="007735B7" w:rsidP="007735B7">
      <w:pPr>
        <w:pStyle w:val="ListParagraph"/>
        <w:numPr>
          <w:ilvl w:val="1"/>
          <w:numId w:val="56"/>
        </w:numPr>
        <w:rPr>
          <w:noProof/>
          <w:sz w:val="24"/>
          <w:szCs w:val="24"/>
        </w:rPr>
      </w:pPr>
      <w:r w:rsidRPr="0004263E">
        <w:rPr>
          <w:noProof/>
          <w:sz w:val="24"/>
          <w:szCs w:val="24"/>
        </w:rPr>
        <w:t>Professional or semi professional sports persons</w:t>
      </w:r>
    </w:p>
    <w:p w14:paraId="779FD77F" w14:textId="6D01C04F" w:rsidR="007735B7" w:rsidRPr="0004263E" w:rsidRDefault="007735B7" w:rsidP="007735B7">
      <w:pPr>
        <w:pStyle w:val="ListParagraph"/>
        <w:numPr>
          <w:ilvl w:val="1"/>
          <w:numId w:val="56"/>
        </w:numPr>
        <w:rPr>
          <w:noProof/>
          <w:sz w:val="24"/>
          <w:szCs w:val="24"/>
        </w:rPr>
      </w:pPr>
      <w:r w:rsidRPr="0004263E">
        <w:rPr>
          <w:noProof/>
          <w:sz w:val="24"/>
          <w:szCs w:val="24"/>
        </w:rPr>
        <w:t>Nightclub security personnel, bailiffs, or bodyguards</w:t>
      </w:r>
    </w:p>
    <w:p w14:paraId="0DC01703" w14:textId="43A8E8E6" w:rsidR="007735B7" w:rsidRPr="0004263E" w:rsidRDefault="007735B7" w:rsidP="007735B7">
      <w:pPr>
        <w:pStyle w:val="ListParagraph"/>
        <w:numPr>
          <w:ilvl w:val="1"/>
          <w:numId w:val="56"/>
        </w:numPr>
        <w:rPr>
          <w:noProof/>
          <w:sz w:val="24"/>
          <w:szCs w:val="24"/>
        </w:rPr>
      </w:pPr>
      <w:r w:rsidRPr="0004263E">
        <w:rPr>
          <w:noProof/>
          <w:sz w:val="24"/>
          <w:szCs w:val="24"/>
        </w:rPr>
        <w:t>All members of the police including community support officers or special constables</w:t>
      </w:r>
    </w:p>
    <w:p w14:paraId="289106E4" w14:textId="20505BC2" w:rsidR="007735B7" w:rsidRPr="0004263E" w:rsidRDefault="007735B7" w:rsidP="007735B7">
      <w:pPr>
        <w:pStyle w:val="ListParagraph"/>
        <w:numPr>
          <w:ilvl w:val="1"/>
          <w:numId w:val="56"/>
        </w:numPr>
        <w:rPr>
          <w:noProof/>
          <w:sz w:val="24"/>
          <w:szCs w:val="24"/>
        </w:rPr>
      </w:pPr>
      <w:r w:rsidRPr="0004263E">
        <w:rPr>
          <w:noProof/>
          <w:sz w:val="24"/>
          <w:szCs w:val="24"/>
        </w:rPr>
        <w:t>Fire-fighters, including reserve or retained firefighters</w:t>
      </w:r>
    </w:p>
    <w:p w14:paraId="5AD0FF49" w14:textId="1D95CDB3" w:rsidR="007735B7" w:rsidRPr="0004263E" w:rsidRDefault="007735B7" w:rsidP="007735B7">
      <w:pPr>
        <w:pStyle w:val="ListParagraph"/>
        <w:numPr>
          <w:ilvl w:val="1"/>
          <w:numId w:val="56"/>
        </w:numPr>
        <w:rPr>
          <w:noProof/>
          <w:sz w:val="24"/>
          <w:szCs w:val="24"/>
        </w:rPr>
      </w:pPr>
      <w:r w:rsidRPr="0004263E">
        <w:rPr>
          <w:noProof/>
          <w:sz w:val="24"/>
          <w:szCs w:val="24"/>
        </w:rPr>
        <w:t>All pilots (fixed wing and helicopter)</w:t>
      </w:r>
    </w:p>
    <w:p w14:paraId="55725B77" w14:textId="4AF9F1E2" w:rsidR="007735B7" w:rsidRPr="0004263E" w:rsidRDefault="007735B7" w:rsidP="007735B7">
      <w:pPr>
        <w:pStyle w:val="ListParagraph"/>
        <w:numPr>
          <w:ilvl w:val="1"/>
          <w:numId w:val="56"/>
        </w:numPr>
        <w:rPr>
          <w:noProof/>
          <w:sz w:val="24"/>
          <w:szCs w:val="24"/>
        </w:rPr>
      </w:pPr>
      <w:r w:rsidRPr="0004263E">
        <w:rPr>
          <w:noProof/>
          <w:sz w:val="24"/>
          <w:szCs w:val="24"/>
        </w:rPr>
        <w:t>Regularly working over heights of 40ft</w:t>
      </w:r>
    </w:p>
    <w:p w14:paraId="6CCB62D6" w14:textId="6E719841" w:rsidR="007735B7" w:rsidRPr="0004263E" w:rsidRDefault="007735B7" w:rsidP="007735B7">
      <w:pPr>
        <w:pStyle w:val="ListParagraph"/>
        <w:numPr>
          <w:ilvl w:val="1"/>
          <w:numId w:val="56"/>
        </w:numPr>
        <w:rPr>
          <w:noProof/>
          <w:sz w:val="24"/>
          <w:szCs w:val="24"/>
        </w:rPr>
      </w:pPr>
      <w:r w:rsidRPr="0004263E">
        <w:rPr>
          <w:noProof/>
          <w:sz w:val="24"/>
          <w:szCs w:val="24"/>
        </w:rPr>
        <w:t>Merchant marine and those working on board sea or ocean-going vessels</w:t>
      </w:r>
    </w:p>
    <w:p w14:paraId="2121E49D" w14:textId="7CE7A3D9" w:rsidR="007735B7" w:rsidRPr="0004263E" w:rsidRDefault="007735B7" w:rsidP="007735B7">
      <w:pPr>
        <w:pStyle w:val="ListParagraph"/>
        <w:numPr>
          <w:ilvl w:val="1"/>
          <w:numId w:val="56"/>
        </w:numPr>
        <w:rPr>
          <w:noProof/>
          <w:sz w:val="24"/>
          <w:szCs w:val="24"/>
        </w:rPr>
      </w:pPr>
      <w:r w:rsidRPr="0004263E">
        <w:rPr>
          <w:noProof/>
          <w:sz w:val="24"/>
          <w:szCs w:val="24"/>
        </w:rPr>
        <w:t>Oil rig or offshore work</w:t>
      </w:r>
    </w:p>
    <w:p w14:paraId="481FD1B1" w14:textId="77777777" w:rsidR="0004263E" w:rsidRDefault="0004263E" w:rsidP="0004263E">
      <w:pPr>
        <w:rPr>
          <w:noProof/>
        </w:rPr>
      </w:pPr>
    </w:p>
    <w:p w14:paraId="3E1DA62B" w14:textId="77777777" w:rsidR="0004263E" w:rsidRDefault="0004263E" w:rsidP="0004263E">
      <w:pPr>
        <w:rPr>
          <w:noProof/>
        </w:rPr>
      </w:pPr>
    </w:p>
    <w:p w14:paraId="56FF850E" w14:textId="77777777" w:rsidR="0004263E" w:rsidRDefault="0004263E" w:rsidP="0004263E">
      <w:pPr>
        <w:rPr>
          <w:noProof/>
        </w:rPr>
      </w:pPr>
    </w:p>
    <w:p w14:paraId="11D091A1" w14:textId="77777777" w:rsidR="0004263E" w:rsidRDefault="0004263E" w:rsidP="0004263E">
      <w:pPr>
        <w:rPr>
          <w:noProof/>
        </w:rPr>
      </w:pPr>
    </w:p>
    <w:p w14:paraId="0B625F99" w14:textId="77777777" w:rsidR="0004263E" w:rsidRDefault="0004263E" w:rsidP="0004263E">
      <w:pPr>
        <w:rPr>
          <w:noProof/>
        </w:rPr>
      </w:pPr>
    </w:p>
    <w:p w14:paraId="371BB14D" w14:textId="5C2B3E54" w:rsidR="007735B7" w:rsidRPr="0004263E" w:rsidRDefault="007735B7" w:rsidP="0004263E">
      <w:pPr>
        <w:pStyle w:val="Heading1"/>
        <w:rPr>
          <w:noProof/>
          <w:sz w:val="28"/>
          <w:szCs w:val="28"/>
        </w:rPr>
      </w:pPr>
      <w:bookmarkStart w:id="1" w:name="_Toc224126028"/>
      <w:r w:rsidRPr="0004263E">
        <w:rPr>
          <w:noProof/>
          <w:sz w:val="28"/>
          <w:szCs w:val="28"/>
        </w:rPr>
        <w:t xml:space="preserve">Underwriting approach to </w:t>
      </w:r>
      <w:r w:rsidR="003A134A" w:rsidRPr="0004263E">
        <w:rPr>
          <w:noProof/>
          <w:sz w:val="28"/>
          <w:szCs w:val="28"/>
        </w:rPr>
        <w:t>leading</w:t>
      </w:r>
      <w:r w:rsidRPr="0004263E">
        <w:rPr>
          <w:noProof/>
          <w:sz w:val="28"/>
          <w:szCs w:val="28"/>
        </w:rPr>
        <w:t xml:space="preserve"> medical conditions</w:t>
      </w:r>
      <w:bookmarkEnd w:id="1"/>
    </w:p>
    <w:p w14:paraId="598D9CB7" w14:textId="77777777" w:rsidR="007735B7" w:rsidRDefault="007735B7" w:rsidP="00633A10">
      <w:pPr>
        <w:rPr>
          <w:b/>
          <w:bCs/>
          <w:noProof/>
        </w:rPr>
      </w:pPr>
    </w:p>
    <w:tbl>
      <w:tblPr>
        <w:tblStyle w:val="GridTable4-Accent1"/>
        <w:tblW w:w="14737" w:type="dxa"/>
        <w:tblLook w:val="04A0" w:firstRow="1" w:lastRow="0" w:firstColumn="1" w:lastColumn="0" w:noHBand="0" w:noVBand="1"/>
      </w:tblPr>
      <w:tblGrid>
        <w:gridCol w:w="2213"/>
        <w:gridCol w:w="6004"/>
        <w:gridCol w:w="6520"/>
      </w:tblGrid>
      <w:tr w:rsidR="00FD5CAE" w:rsidRPr="0004263E" w14:paraId="45D36090" w14:textId="77777777" w:rsidTr="00A83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0E3B284C" w14:textId="6712F0F7" w:rsidR="00FD5CAE" w:rsidRPr="0004263E" w:rsidRDefault="00FD5CAE" w:rsidP="00633A10">
            <w:pPr>
              <w:rPr>
                <w:b w:val="0"/>
                <w:bCs w:val="0"/>
                <w:noProof/>
                <w:sz w:val="22"/>
                <w:szCs w:val="22"/>
              </w:rPr>
            </w:pPr>
            <w:r w:rsidRPr="0004263E">
              <w:rPr>
                <w:b w:val="0"/>
                <w:bCs w:val="0"/>
                <w:noProof/>
                <w:sz w:val="22"/>
                <w:szCs w:val="22"/>
              </w:rPr>
              <w:t>Condition</w:t>
            </w:r>
          </w:p>
        </w:tc>
        <w:tc>
          <w:tcPr>
            <w:tcW w:w="6004" w:type="dxa"/>
          </w:tcPr>
          <w:p w14:paraId="0E859486" w14:textId="79F6674F" w:rsidR="00FD5CAE" w:rsidRPr="0004263E" w:rsidRDefault="00FD5CAE" w:rsidP="00633A10">
            <w:pPr>
              <w:cnfStyle w:val="100000000000" w:firstRow="1" w:lastRow="0" w:firstColumn="0" w:lastColumn="0" w:oddVBand="0" w:evenVBand="0" w:oddHBand="0" w:evenHBand="0" w:firstRowFirstColumn="0" w:firstRowLastColumn="0" w:lastRowFirstColumn="0" w:lastRowLastColumn="0"/>
              <w:rPr>
                <w:b w:val="0"/>
                <w:bCs w:val="0"/>
                <w:noProof/>
                <w:sz w:val="22"/>
                <w:szCs w:val="22"/>
              </w:rPr>
            </w:pPr>
            <w:r w:rsidRPr="0004263E">
              <w:rPr>
                <w:b w:val="0"/>
                <w:bCs w:val="0"/>
                <w:noProof/>
                <w:sz w:val="22"/>
                <w:szCs w:val="22"/>
              </w:rPr>
              <w:t>Underwriting approach</w:t>
            </w:r>
          </w:p>
        </w:tc>
        <w:tc>
          <w:tcPr>
            <w:tcW w:w="6520" w:type="dxa"/>
          </w:tcPr>
          <w:p w14:paraId="359F92E6" w14:textId="040226AE" w:rsidR="00FD5CAE" w:rsidRPr="0004263E" w:rsidRDefault="00FD5CAE" w:rsidP="00633A10">
            <w:pPr>
              <w:cnfStyle w:val="100000000000" w:firstRow="1" w:lastRow="0" w:firstColumn="0" w:lastColumn="0" w:oddVBand="0" w:evenVBand="0" w:oddHBand="0" w:evenHBand="0" w:firstRowFirstColumn="0" w:firstRowLastColumn="0" w:lastRowFirstColumn="0" w:lastRowLastColumn="0"/>
              <w:rPr>
                <w:b w:val="0"/>
                <w:bCs w:val="0"/>
                <w:noProof/>
                <w:sz w:val="22"/>
                <w:szCs w:val="22"/>
              </w:rPr>
            </w:pPr>
            <w:r w:rsidRPr="0004263E">
              <w:rPr>
                <w:b w:val="0"/>
                <w:bCs w:val="0"/>
                <w:noProof/>
                <w:sz w:val="22"/>
                <w:szCs w:val="22"/>
              </w:rPr>
              <w:t>What we might want to know</w:t>
            </w:r>
          </w:p>
        </w:tc>
      </w:tr>
      <w:tr w:rsidR="00166027" w:rsidRPr="0004263E" w14:paraId="7F8FF0CD" w14:textId="275107F9" w:rsidTr="00A83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6A887BC7" w14:textId="71C87D90" w:rsidR="00166027" w:rsidRPr="0004263E" w:rsidRDefault="00166027" w:rsidP="00633A10">
            <w:pPr>
              <w:rPr>
                <w:b w:val="0"/>
                <w:bCs w:val="0"/>
                <w:noProof/>
                <w:sz w:val="22"/>
                <w:szCs w:val="22"/>
              </w:rPr>
            </w:pPr>
            <w:r w:rsidRPr="0004263E">
              <w:rPr>
                <w:noProof/>
                <w:sz w:val="22"/>
                <w:szCs w:val="22"/>
              </w:rPr>
              <w:t>Acid reflux</w:t>
            </w:r>
          </w:p>
        </w:tc>
        <w:tc>
          <w:tcPr>
            <w:tcW w:w="6004" w:type="dxa"/>
          </w:tcPr>
          <w:p w14:paraId="11017270" w14:textId="40B13765" w:rsidR="00166027" w:rsidRPr="0004263E" w:rsidRDefault="00166027" w:rsidP="00633A10">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Well-controlled acid reflux can now often be accepted immediately with full cover, without referral. Where there is any additional risk, this is more likely to be reflected in the premium rather than by applying an exclusion.</w:t>
            </w:r>
          </w:p>
        </w:tc>
        <w:tc>
          <w:tcPr>
            <w:tcW w:w="6520" w:type="dxa"/>
          </w:tcPr>
          <w:p w14:paraId="6AABAE7A" w14:textId="14EBDA11" w:rsidR="00166027" w:rsidRPr="0004263E" w:rsidRDefault="0004263E" w:rsidP="00633A10">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Diagnosis, whether symptoms are ongoing, how often they occur, whether this is simple reflux with no underlying cause, any investigations or follow up, any hospital attendance, and any recent time off work.</w:t>
            </w:r>
          </w:p>
        </w:tc>
      </w:tr>
      <w:tr w:rsidR="00166027" w:rsidRPr="0004263E" w14:paraId="40C00737" w14:textId="5751620C" w:rsidTr="00A83561">
        <w:tc>
          <w:tcPr>
            <w:cnfStyle w:val="001000000000" w:firstRow="0" w:lastRow="0" w:firstColumn="1" w:lastColumn="0" w:oddVBand="0" w:evenVBand="0" w:oddHBand="0" w:evenHBand="0" w:firstRowFirstColumn="0" w:firstRowLastColumn="0" w:lastRowFirstColumn="0" w:lastRowLastColumn="0"/>
            <w:tcW w:w="2213" w:type="dxa"/>
          </w:tcPr>
          <w:p w14:paraId="5015D891" w14:textId="3BDBA59C" w:rsidR="00166027" w:rsidRPr="0004263E" w:rsidRDefault="00166027" w:rsidP="00633A10">
            <w:pPr>
              <w:rPr>
                <w:b w:val="0"/>
                <w:bCs w:val="0"/>
                <w:noProof/>
                <w:sz w:val="22"/>
                <w:szCs w:val="22"/>
              </w:rPr>
            </w:pPr>
            <w:r w:rsidRPr="0004263E">
              <w:rPr>
                <w:noProof/>
                <w:sz w:val="22"/>
                <w:szCs w:val="22"/>
              </w:rPr>
              <w:t>Alcohol Consumption</w:t>
            </w:r>
          </w:p>
        </w:tc>
        <w:tc>
          <w:tcPr>
            <w:tcW w:w="6004" w:type="dxa"/>
          </w:tcPr>
          <w:p w14:paraId="71220252" w14:textId="5EBC9B32" w:rsidR="00166027" w:rsidRPr="0004263E" w:rsidRDefault="00166027" w:rsidP="00633A10">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We can provide immediate decisions for everyday alcohol consumption, without referral. Higher-risk cases may still be considered, with the risk reflected through premium loading rather than restriction or postponement, where appropriate.</w:t>
            </w:r>
          </w:p>
        </w:tc>
        <w:tc>
          <w:tcPr>
            <w:tcW w:w="6520" w:type="dxa"/>
          </w:tcPr>
          <w:p w14:paraId="682B5D7E" w14:textId="355CFE8E" w:rsidR="00166027" w:rsidRPr="0004263E" w:rsidRDefault="0004263E" w:rsidP="00FD5CAE">
            <w:pPr>
              <w:cnfStyle w:val="000000000000" w:firstRow="0" w:lastRow="0" w:firstColumn="0" w:lastColumn="0" w:oddVBand="0" w:evenVBand="0" w:oddHBand="0" w:evenHBand="0" w:firstRowFirstColumn="0" w:firstRowLastColumn="0" w:lastRowFirstColumn="0" w:lastRowLastColumn="0"/>
              <w:rPr>
                <w:sz w:val="22"/>
                <w:szCs w:val="22"/>
              </w:rPr>
            </w:pPr>
            <w:r w:rsidRPr="0004263E">
              <w:rPr>
                <w:sz w:val="22"/>
                <w:szCs w:val="22"/>
              </w:rPr>
              <w:t>Whether the client has ever been advised to reduce alcohol intake, referred for support, or been dependent on alcohol, whether they still drink or have done so in the last 5 years, and their typical weekly alcohol intake.</w:t>
            </w:r>
          </w:p>
        </w:tc>
      </w:tr>
      <w:tr w:rsidR="00166027" w:rsidRPr="0004263E" w14:paraId="39C40C10" w14:textId="62AEA3A2" w:rsidTr="00A83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21E19389" w14:textId="0016AC22" w:rsidR="00166027" w:rsidRPr="0004263E" w:rsidRDefault="00166027" w:rsidP="003A134A">
            <w:pPr>
              <w:rPr>
                <w:b w:val="0"/>
                <w:bCs w:val="0"/>
                <w:noProof/>
                <w:sz w:val="22"/>
                <w:szCs w:val="22"/>
              </w:rPr>
            </w:pPr>
            <w:r w:rsidRPr="0004263E">
              <w:rPr>
                <w:noProof/>
                <w:sz w:val="22"/>
                <w:szCs w:val="22"/>
              </w:rPr>
              <w:t>Anaemia (Iron deficiency)</w:t>
            </w:r>
          </w:p>
        </w:tc>
        <w:tc>
          <w:tcPr>
            <w:tcW w:w="6004" w:type="dxa"/>
          </w:tcPr>
          <w:p w14:paraId="65E5BE57" w14:textId="085B5D9A" w:rsidR="00166027" w:rsidRPr="0004263E" w:rsidRDefault="00166027" w:rsidP="003A134A">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Mild to moderate iron-deficiency anaemia can often be accepted immediately with full cover, without referral, although premium loading may apply depending on the individual circumstances.</w:t>
            </w:r>
          </w:p>
        </w:tc>
        <w:tc>
          <w:tcPr>
            <w:tcW w:w="6520" w:type="dxa"/>
          </w:tcPr>
          <w:p w14:paraId="60C8572A" w14:textId="0885A917" w:rsidR="00FD5CAE" w:rsidRPr="0004263E" w:rsidRDefault="0004263E" w:rsidP="00FD5CAE">
            <w:pPr>
              <w:cnfStyle w:val="000000100000" w:firstRow="0" w:lastRow="0" w:firstColumn="0" w:lastColumn="0" w:oddVBand="0" w:evenVBand="0" w:oddHBand="1" w:evenHBand="0" w:firstRowFirstColumn="0" w:firstRowLastColumn="0" w:lastRowFirstColumn="0" w:lastRowLastColumn="0"/>
              <w:rPr>
                <w:sz w:val="22"/>
                <w:szCs w:val="22"/>
              </w:rPr>
            </w:pPr>
            <w:r w:rsidRPr="0004263E">
              <w:rPr>
                <w:sz w:val="22"/>
                <w:szCs w:val="22"/>
              </w:rPr>
              <w:t>The type of anaemia or blood disorder, whether treatment is ongoing, whether there are any current symptoms, whether specialist follow up is needed, and when symptoms or treatment last occurred.</w:t>
            </w:r>
          </w:p>
        </w:tc>
      </w:tr>
      <w:tr w:rsidR="00166027" w:rsidRPr="0004263E" w14:paraId="3A109881" w14:textId="00C4D3E2" w:rsidTr="00A83561">
        <w:tc>
          <w:tcPr>
            <w:cnfStyle w:val="001000000000" w:firstRow="0" w:lastRow="0" w:firstColumn="1" w:lastColumn="0" w:oddVBand="0" w:evenVBand="0" w:oddHBand="0" w:evenHBand="0" w:firstRowFirstColumn="0" w:firstRowLastColumn="0" w:lastRowFirstColumn="0" w:lastRowLastColumn="0"/>
            <w:tcW w:w="2213" w:type="dxa"/>
          </w:tcPr>
          <w:p w14:paraId="310F9057" w14:textId="1FBC54C9" w:rsidR="00166027" w:rsidRPr="0004263E" w:rsidRDefault="00166027" w:rsidP="00633A10">
            <w:pPr>
              <w:rPr>
                <w:b w:val="0"/>
                <w:bCs w:val="0"/>
                <w:noProof/>
                <w:sz w:val="22"/>
                <w:szCs w:val="22"/>
              </w:rPr>
            </w:pPr>
            <w:r w:rsidRPr="0004263E">
              <w:rPr>
                <w:noProof/>
                <w:sz w:val="22"/>
                <w:szCs w:val="22"/>
              </w:rPr>
              <w:t>Anxiety disorder</w:t>
            </w:r>
          </w:p>
        </w:tc>
        <w:tc>
          <w:tcPr>
            <w:tcW w:w="6004" w:type="dxa"/>
          </w:tcPr>
          <w:p w14:paraId="3D211ADE" w14:textId="09053CA3" w:rsidR="00166027" w:rsidRPr="0004263E" w:rsidRDefault="00166027" w:rsidP="00633A10">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Cases may be considered for standard terms without referral once the client has been symptom free for five years.</w:t>
            </w:r>
          </w:p>
        </w:tc>
        <w:tc>
          <w:tcPr>
            <w:tcW w:w="6520" w:type="dxa"/>
          </w:tcPr>
          <w:p w14:paraId="1A012E9D" w14:textId="465DC6E1" w:rsidR="00166027" w:rsidRPr="0004263E" w:rsidRDefault="0004263E" w:rsidP="00FD5CAE">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When symptoms last occurred, whether symptoms are continuous or fully resolved, any treatment or talking therapy, any hospital admission or specialist referral, any impact on day-to-day functioning, and any time off work.</w:t>
            </w:r>
          </w:p>
        </w:tc>
      </w:tr>
      <w:tr w:rsidR="00166027" w:rsidRPr="0004263E" w14:paraId="3D4E3BBD" w14:textId="3A6608A4" w:rsidTr="00A83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29B76F3F" w14:textId="0C7C483E" w:rsidR="00166027" w:rsidRPr="0004263E" w:rsidRDefault="00166027" w:rsidP="00633A10">
            <w:pPr>
              <w:rPr>
                <w:b w:val="0"/>
                <w:bCs w:val="0"/>
                <w:noProof/>
                <w:sz w:val="22"/>
                <w:szCs w:val="22"/>
              </w:rPr>
            </w:pPr>
            <w:r w:rsidRPr="0004263E">
              <w:rPr>
                <w:noProof/>
                <w:sz w:val="22"/>
                <w:szCs w:val="22"/>
              </w:rPr>
              <w:t>Asthma</w:t>
            </w:r>
          </w:p>
        </w:tc>
        <w:tc>
          <w:tcPr>
            <w:tcW w:w="6004" w:type="dxa"/>
          </w:tcPr>
          <w:p w14:paraId="7D338A51" w14:textId="752D5DFE" w:rsidR="00166027" w:rsidRPr="0004263E" w:rsidRDefault="00166027" w:rsidP="00633A10">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Mild to moderate asthma with ongoing but controlled symptoms can often be accepted immediately with full cover, without referral. Premium loading may apply depending on severity and treatment.</w:t>
            </w:r>
          </w:p>
        </w:tc>
        <w:tc>
          <w:tcPr>
            <w:tcW w:w="6520" w:type="dxa"/>
          </w:tcPr>
          <w:p w14:paraId="7766451E" w14:textId="68F35E60" w:rsidR="00166027" w:rsidRPr="0004263E" w:rsidRDefault="0004263E" w:rsidP="00633A10">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How often symptoms occur, whether it limits activity, whether there are any night-time symptoms, how often reliever medication is needed, any hospital treatment, and whether any follow up, treatment or time off work has been required.</w:t>
            </w:r>
          </w:p>
        </w:tc>
      </w:tr>
      <w:tr w:rsidR="00166027" w:rsidRPr="0004263E" w14:paraId="59BA6F05" w14:textId="297687A3" w:rsidTr="00A83561">
        <w:tc>
          <w:tcPr>
            <w:cnfStyle w:val="001000000000" w:firstRow="0" w:lastRow="0" w:firstColumn="1" w:lastColumn="0" w:oddVBand="0" w:evenVBand="0" w:oddHBand="0" w:evenHBand="0" w:firstRowFirstColumn="0" w:firstRowLastColumn="0" w:lastRowFirstColumn="0" w:lastRowLastColumn="0"/>
            <w:tcW w:w="2213" w:type="dxa"/>
          </w:tcPr>
          <w:p w14:paraId="7D56944D" w14:textId="1CDB6E08" w:rsidR="00166027" w:rsidRPr="0004263E" w:rsidRDefault="00166027" w:rsidP="003A134A">
            <w:pPr>
              <w:rPr>
                <w:b w:val="0"/>
                <w:bCs w:val="0"/>
                <w:noProof/>
                <w:sz w:val="22"/>
                <w:szCs w:val="22"/>
              </w:rPr>
            </w:pPr>
            <w:r w:rsidRPr="0004263E">
              <w:rPr>
                <w:noProof/>
                <w:sz w:val="22"/>
                <w:szCs w:val="22"/>
                <w:lang w:val="en-US"/>
              </w:rPr>
              <w:t>Back pain</w:t>
            </w:r>
          </w:p>
        </w:tc>
        <w:tc>
          <w:tcPr>
            <w:tcW w:w="6004" w:type="dxa"/>
          </w:tcPr>
          <w:p w14:paraId="7D845B95" w14:textId="3EC59E2E" w:rsidR="00166027" w:rsidRPr="0004263E" w:rsidRDefault="00166027" w:rsidP="00633A10">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Cover can often be confirmed immediately, without referral, and where the client has been symptom free for a sustained period, this may be offered without an exclusion.</w:t>
            </w:r>
          </w:p>
        </w:tc>
        <w:tc>
          <w:tcPr>
            <w:tcW w:w="6520" w:type="dxa"/>
          </w:tcPr>
          <w:p w14:paraId="433E35E2" w14:textId="1984422D" w:rsidR="00166027" w:rsidRPr="0004263E" w:rsidRDefault="0004263E" w:rsidP="00633A10">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The exact condition, when symptoms last occurred, whether there is any nerve involvement, whether surgery or specialist referral has been required, whether treatment is ongoing, and whether it has led to any notable time off work.</w:t>
            </w:r>
          </w:p>
        </w:tc>
      </w:tr>
      <w:tr w:rsidR="00166027" w:rsidRPr="0004263E" w14:paraId="3211BAAE" w14:textId="44A5E562" w:rsidTr="00A83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555742A4" w14:textId="674808AD" w:rsidR="00166027" w:rsidRPr="0004263E" w:rsidRDefault="00166027" w:rsidP="003A134A">
            <w:pPr>
              <w:rPr>
                <w:b w:val="0"/>
                <w:bCs w:val="0"/>
                <w:noProof/>
                <w:sz w:val="22"/>
                <w:szCs w:val="22"/>
              </w:rPr>
            </w:pPr>
            <w:r w:rsidRPr="0004263E">
              <w:rPr>
                <w:noProof/>
                <w:sz w:val="22"/>
                <w:szCs w:val="22"/>
                <w:lang w:val="en-US"/>
              </w:rPr>
              <w:lastRenderedPageBreak/>
              <w:t>Blood Pressure</w:t>
            </w:r>
          </w:p>
        </w:tc>
        <w:tc>
          <w:tcPr>
            <w:tcW w:w="6004" w:type="dxa"/>
          </w:tcPr>
          <w:p w14:paraId="0FA46DB7" w14:textId="4756EC2D" w:rsidR="00166027" w:rsidRPr="0004263E" w:rsidRDefault="00166027" w:rsidP="00633A10">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Immediate decisions can often be made without referral, with terms based on the overall risk profile, including factors such as BMI, smoking status and family history.</w:t>
            </w:r>
          </w:p>
        </w:tc>
        <w:tc>
          <w:tcPr>
            <w:tcW w:w="6520" w:type="dxa"/>
          </w:tcPr>
          <w:p w14:paraId="2B5DC8FA" w14:textId="43813304" w:rsidR="00166027" w:rsidRPr="0004263E" w:rsidRDefault="0004263E" w:rsidP="00633A10">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The condition being treated, whether medication or treatment is ongoing, whether there are any current symptoms, whether specialist review or further investigations have been required, and when symptoms or treatment last occurred.</w:t>
            </w:r>
          </w:p>
        </w:tc>
      </w:tr>
      <w:tr w:rsidR="00166027" w:rsidRPr="0004263E" w14:paraId="2850FE8B" w14:textId="47F3F9A2" w:rsidTr="00A83561">
        <w:tc>
          <w:tcPr>
            <w:cnfStyle w:val="001000000000" w:firstRow="0" w:lastRow="0" w:firstColumn="1" w:lastColumn="0" w:oddVBand="0" w:evenVBand="0" w:oddHBand="0" w:evenHBand="0" w:firstRowFirstColumn="0" w:firstRowLastColumn="0" w:lastRowFirstColumn="0" w:lastRowLastColumn="0"/>
            <w:tcW w:w="2213" w:type="dxa"/>
          </w:tcPr>
          <w:p w14:paraId="62CF750C" w14:textId="5DA91D27" w:rsidR="00166027" w:rsidRPr="0004263E" w:rsidRDefault="00166027" w:rsidP="003A134A">
            <w:pPr>
              <w:rPr>
                <w:b w:val="0"/>
                <w:bCs w:val="0"/>
                <w:noProof/>
                <w:sz w:val="22"/>
                <w:szCs w:val="22"/>
              </w:rPr>
            </w:pPr>
            <w:r w:rsidRPr="0004263E">
              <w:rPr>
                <w:noProof/>
                <w:sz w:val="22"/>
                <w:szCs w:val="22"/>
                <w:lang w:val="en-US"/>
              </w:rPr>
              <w:t>Carpal tunnel syndrome</w:t>
            </w:r>
          </w:p>
        </w:tc>
        <w:tc>
          <w:tcPr>
            <w:tcW w:w="6004" w:type="dxa"/>
          </w:tcPr>
          <w:p w14:paraId="4BCA3B47" w14:textId="569F7CE8" w:rsidR="00166027" w:rsidRPr="0004263E" w:rsidRDefault="00166027" w:rsidP="00633A10">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Standard rates may be available without referral where surgery has been completed and the client has been symptom free for at least 6 months. In other cases, an exclusion may apply.</w:t>
            </w:r>
          </w:p>
        </w:tc>
        <w:tc>
          <w:tcPr>
            <w:tcW w:w="6520" w:type="dxa"/>
          </w:tcPr>
          <w:p w14:paraId="75BC9B62" w14:textId="57F282F3" w:rsidR="00166027" w:rsidRPr="0004263E" w:rsidRDefault="0004263E" w:rsidP="00633A10">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Which area is affected, whether symptoms are ongoing, whether surgery has been carried out and led to full recovery, whether there is any nerve impairment or loss of function, and whether any time off work was required.</w:t>
            </w:r>
          </w:p>
        </w:tc>
      </w:tr>
      <w:tr w:rsidR="00166027" w:rsidRPr="0004263E" w14:paraId="2DA2759F" w14:textId="5FA1EF24" w:rsidTr="00A83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0E654B3B" w14:textId="64ABA778" w:rsidR="00166027" w:rsidRPr="0004263E" w:rsidRDefault="00166027" w:rsidP="0051663D">
            <w:pPr>
              <w:rPr>
                <w:b w:val="0"/>
                <w:bCs w:val="0"/>
                <w:noProof/>
                <w:sz w:val="22"/>
                <w:szCs w:val="22"/>
                <w:lang w:val="en-US"/>
              </w:rPr>
            </w:pPr>
            <w:r w:rsidRPr="0004263E">
              <w:rPr>
                <w:noProof/>
                <w:sz w:val="22"/>
                <w:szCs w:val="22"/>
              </w:rPr>
              <w:t>Diabetes</w:t>
            </w:r>
          </w:p>
        </w:tc>
        <w:tc>
          <w:tcPr>
            <w:tcW w:w="6004" w:type="dxa"/>
          </w:tcPr>
          <w:p w14:paraId="38BF1BE5" w14:textId="77777777" w:rsidR="00166027" w:rsidRPr="0004263E" w:rsidRDefault="00166027" w:rsidP="0051663D">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Cover may be considered subject to full underwriting assessment, including HbA1c, date of diagnosis, any complications, age, BMI and smoking status.</w:t>
            </w:r>
          </w:p>
          <w:p w14:paraId="46D587D6" w14:textId="77777777" w:rsidR="00166027" w:rsidRPr="0004263E" w:rsidRDefault="00166027" w:rsidP="0051663D">
            <w:pPr>
              <w:cnfStyle w:val="000000100000" w:firstRow="0" w:lastRow="0" w:firstColumn="0" w:lastColumn="0" w:oddVBand="0" w:evenVBand="0" w:oddHBand="1" w:evenHBand="0" w:firstRowFirstColumn="0" w:firstRowLastColumn="0" w:lastRowFirstColumn="0" w:lastRowLastColumn="0"/>
              <w:rPr>
                <w:noProof/>
                <w:sz w:val="22"/>
                <w:szCs w:val="22"/>
              </w:rPr>
            </w:pPr>
          </w:p>
          <w:p w14:paraId="5F03BE25" w14:textId="08EA4807" w:rsidR="00166027" w:rsidRPr="0004263E" w:rsidRDefault="00166027" w:rsidP="0051663D">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Gestational diabetes may be accepted immediately without referral where there has been full recovery and the client is no longer pregnant, provided the condition did not pre-date the pregnancy.</w:t>
            </w:r>
          </w:p>
        </w:tc>
        <w:tc>
          <w:tcPr>
            <w:tcW w:w="6520" w:type="dxa"/>
          </w:tcPr>
          <w:p w14:paraId="29FC9DC9" w14:textId="3E3DBCEC" w:rsidR="00166027" w:rsidRPr="0004263E" w:rsidRDefault="0004263E" w:rsidP="0051663D">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Latest HbA1c, date of diagnosis, whether insulin is required, any complications such as eye, kidney or nerve involvement, any hospital admission or time off work, and for gestational diabetes whether it pre-dated pregnancy and has fully resolved.</w:t>
            </w:r>
          </w:p>
          <w:p w14:paraId="626031AF" w14:textId="5B3E011C" w:rsidR="0004263E" w:rsidRPr="0004263E" w:rsidRDefault="0004263E" w:rsidP="0004263E">
            <w:pPr>
              <w:tabs>
                <w:tab w:val="left" w:pos="1305"/>
              </w:tabs>
              <w:cnfStyle w:val="000000100000" w:firstRow="0" w:lastRow="0" w:firstColumn="0" w:lastColumn="0" w:oddVBand="0" w:evenVBand="0" w:oddHBand="1" w:evenHBand="0" w:firstRowFirstColumn="0" w:firstRowLastColumn="0" w:lastRowFirstColumn="0" w:lastRowLastColumn="0"/>
              <w:rPr>
                <w:sz w:val="22"/>
                <w:szCs w:val="22"/>
              </w:rPr>
            </w:pPr>
            <w:r w:rsidRPr="0004263E">
              <w:rPr>
                <w:sz w:val="22"/>
                <w:szCs w:val="22"/>
              </w:rPr>
              <w:tab/>
            </w:r>
          </w:p>
        </w:tc>
      </w:tr>
      <w:tr w:rsidR="00166027" w:rsidRPr="0004263E" w14:paraId="1D97F77E" w14:textId="1F5EFF36" w:rsidTr="00A83561">
        <w:tc>
          <w:tcPr>
            <w:cnfStyle w:val="001000000000" w:firstRow="0" w:lastRow="0" w:firstColumn="1" w:lastColumn="0" w:oddVBand="0" w:evenVBand="0" w:oddHBand="0" w:evenHBand="0" w:firstRowFirstColumn="0" w:firstRowLastColumn="0" w:lastRowFirstColumn="0" w:lastRowLastColumn="0"/>
            <w:tcW w:w="2213" w:type="dxa"/>
          </w:tcPr>
          <w:p w14:paraId="31A4CFFD" w14:textId="21106FB3" w:rsidR="00166027" w:rsidRPr="0004263E" w:rsidRDefault="00166027" w:rsidP="003A134A">
            <w:pPr>
              <w:rPr>
                <w:b w:val="0"/>
                <w:bCs w:val="0"/>
                <w:noProof/>
                <w:sz w:val="22"/>
                <w:szCs w:val="22"/>
                <w:lang w:val="en-US"/>
              </w:rPr>
            </w:pPr>
            <w:r w:rsidRPr="0004263E">
              <w:rPr>
                <w:noProof/>
                <w:sz w:val="22"/>
                <w:szCs w:val="22"/>
              </w:rPr>
              <w:t>Depression</w:t>
            </w:r>
          </w:p>
        </w:tc>
        <w:tc>
          <w:tcPr>
            <w:tcW w:w="6004" w:type="dxa"/>
          </w:tcPr>
          <w:p w14:paraId="1ACBF58E" w14:textId="62041BE9" w:rsidR="00166027" w:rsidRPr="0004263E" w:rsidRDefault="00166027" w:rsidP="00633A10">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Mild cases may be considered at standard rates without referral once symptom free for 2 years. Moderate cases usually require a longer symptom-free period. More recent or severe histories are more likely to result in an exclusion or decline.</w:t>
            </w:r>
          </w:p>
        </w:tc>
        <w:tc>
          <w:tcPr>
            <w:tcW w:w="6520" w:type="dxa"/>
          </w:tcPr>
          <w:p w14:paraId="51A71C08" w14:textId="0A4D9502" w:rsidR="00166027" w:rsidRPr="0004263E" w:rsidRDefault="0004263E" w:rsidP="00633A10">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When symptoms last occurred, whether symptoms are continuous or fully resolved, any treatment or medication, any hospital admission or specialist involvement, any effect on normal daily living, and any time off work.</w:t>
            </w:r>
          </w:p>
          <w:p w14:paraId="1A717F08" w14:textId="12EB3B4C" w:rsidR="0004263E" w:rsidRPr="0004263E" w:rsidRDefault="0004263E" w:rsidP="0004263E">
            <w:pPr>
              <w:tabs>
                <w:tab w:val="left" w:pos="1200"/>
              </w:tabs>
              <w:cnfStyle w:val="000000000000" w:firstRow="0" w:lastRow="0" w:firstColumn="0" w:lastColumn="0" w:oddVBand="0" w:evenVBand="0" w:oddHBand="0" w:evenHBand="0" w:firstRowFirstColumn="0" w:firstRowLastColumn="0" w:lastRowFirstColumn="0" w:lastRowLastColumn="0"/>
              <w:rPr>
                <w:sz w:val="22"/>
                <w:szCs w:val="22"/>
              </w:rPr>
            </w:pPr>
            <w:r w:rsidRPr="0004263E">
              <w:rPr>
                <w:sz w:val="22"/>
                <w:szCs w:val="22"/>
              </w:rPr>
              <w:tab/>
            </w:r>
          </w:p>
        </w:tc>
      </w:tr>
      <w:tr w:rsidR="00166027" w:rsidRPr="0004263E" w14:paraId="4FA024BD" w14:textId="0F23032B" w:rsidTr="00A83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72E58145" w14:textId="74C5AD94" w:rsidR="00166027" w:rsidRPr="0004263E" w:rsidRDefault="00166027" w:rsidP="003A134A">
            <w:pPr>
              <w:rPr>
                <w:b w:val="0"/>
                <w:bCs w:val="0"/>
                <w:noProof/>
                <w:sz w:val="22"/>
                <w:szCs w:val="22"/>
              </w:rPr>
            </w:pPr>
            <w:r w:rsidRPr="0004263E">
              <w:rPr>
                <w:noProof/>
                <w:sz w:val="22"/>
                <w:szCs w:val="22"/>
              </w:rPr>
              <w:t>Epilepsy</w:t>
            </w:r>
          </w:p>
        </w:tc>
        <w:tc>
          <w:tcPr>
            <w:tcW w:w="6004" w:type="dxa"/>
          </w:tcPr>
          <w:p w14:paraId="699D38FD" w14:textId="43A99E01" w:rsidR="00166027" w:rsidRPr="0004263E" w:rsidRDefault="00166027" w:rsidP="00633A10">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Cases may be accepted immediately without referral where there have been no seizures for 10 years and the client has been medication free for 5 years. Other cases may be subject to an exclusion or decline depending on severity and frequency.</w:t>
            </w:r>
          </w:p>
        </w:tc>
        <w:tc>
          <w:tcPr>
            <w:tcW w:w="6520" w:type="dxa"/>
          </w:tcPr>
          <w:p w14:paraId="4D3D3102" w14:textId="68E679A9" w:rsidR="00166027" w:rsidRPr="0004263E" w:rsidRDefault="0004263E" w:rsidP="00633A10">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Diagnosis, when any seizures last occurred, how many seizures there have been in recent years, whether the client has been seizure free for 10 years, whether medication or follow up has been needed in the last 5 years, and whether investigations have been normal.</w:t>
            </w:r>
          </w:p>
        </w:tc>
      </w:tr>
      <w:tr w:rsidR="00166027" w:rsidRPr="0004263E" w14:paraId="35660287" w14:textId="3F8DEFE5" w:rsidTr="00A83561">
        <w:tc>
          <w:tcPr>
            <w:cnfStyle w:val="001000000000" w:firstRow="0" w:lastRow="0" w:firstColumn="1" w:lastColumn="0" w:oddVBand="0" w:evenVBand="0" w:oddHBand="0" w:evenHBand="0" w:firstRowFirstColumn="0" w:firstRowLastColumn="0" w:lastRowFirstColumn="0" w:lastRowLastColumn="0"/>
            <w:tcW w:w="2213" w:type="dxa"/>
          </w:tcPr>
          <w:p w14:paraId="65015EAE" w14:textId="66A470F2" w:rsidR="00166027" w:rsidRPr="0004263E" w:rsidRDefault="00166027" w:rsidP="003A134A">
            <w:pPr>
              <w:rPr>
                <w:b w:val="0"/>
                <w:bCs w:val="0"/>
                <w:noProof/>
                <w:sz w:val="22"/>
                <w:szCs w:val="22"/>
              </w:rPr>
            </w:pPr>
            <w:r w:rsidRPr="0004263E">
              <w:rPr>
                <w:noProof/>
                <w:sz w:val="22"/>
                <w:szCs w:val="22"/>
                <w:lang w:val="en-US"/>
              </w:rPr>
              <w:t>Gout</w:t>
            </w:r>
          </w:p>
        </w:tc>
        <w:tc>
          <w:tcPr>
            <w:tcW w:w="6004" w:type="dxa"/>
          </w:tcPr>
          <w:p w14:paraId="009A2ABB" w14:textId="470084C8" w:rsidR="00166027" w:rsidRPr="0004263E" w:rsidRDefault="00166027" w:rsidP="00633A10">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Mild cases may be considered at standard rates without referral where the client has been symptom free for at least 12 months.</w:t>
            </w:r>
          </w:p>
        </w:tc>
        <w:tc>
          <w:tcPr>
            <w:tcW w:w="6520" w:type="dxa"/>
          </w:tcPr>
          <w:p w14:paraId="4338F9AF" w14:textId="523D526D" w:rsidR="00166027" w:rsidRPr="0004263E" w:rsidRDefault="0004263E" w:rsidP="00633A10">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Which joint is affected, how often attacks occur, when the last episode was, whether symptoms are well controlled with medication, whether there have been any joint changes, and whether any time off work has been required.</w:t>
            </w:r>
          </w:p>
        </w:tc>
      </w:tr>
      <w:tr w:rsidR="00166027" w:rsidRPr="0004263E" w14:paraId="1253946D" w14:textId="7BCF9213" w:rsidTr="00A83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6C29BC20" w14:textId="3DE8D7EE" w:rsidR="00166027" w:rsidRPr="0004263E" w:rsidRDefault="00166027" w:rsidP="003A134A">
            <w:pPr>
              <w:rPr>
                <w:b w:val="0"/>
                <w:bCs w:val="0"/>
                <w:noProof/>
                <w:sz w:val="22"/>
                <w:szCs w:val="22"/>
              </w:rPr>
            </w:pPr>
            <w:r w:rsidRPr="0004263E">
              <w:rPr>
                <w:noProof/>
                <w:sz w:val="22"/>
                <w:szCs w:val="22"/>
                <w:lang w:val="en-US"/>
              </w:rPr>
              <w:t>Gynecological conditions</w:t>
            </w:r>
          </w:p>
        </w:tc>
        <w:tc>
          <w:tcPr>
            <w:tcW w:w="6004" w:type="dxa"/>
          </w:tcPr>
          <w:p w14:paraId="182303C0" w14:textId="1FCBEA9A" w:rsidR="00166027" w:rsidRPr="0004263E" w:rsidRDefault="00166027" w:rsidP="00633A10">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Historical or asymptomatic cases can often be considered at standard rates without referral.</w:t>
            </w:r>
          </w:p>
        </w:tc>
        <w:tc>
          <w:tcPr>
            <w:tcW w:w="6520" w:type="dxa"/>
          </w:tcPr>
          <w:p w14:paraId="6523EB7F" w14:textId="4BC86788" w:rsidR="00166027" w:rsidRPr="0004263E" w:rsidRDefault="0004263E" w:rsidP="00633A10">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The exact condition, whether it has been clinically confirmed and is benign, whether symptoms are ongoing, whether any investigations, treatment or follow up are still outstanding, whether the client has been discharged, and any recent time off work.</w:t>
            </w:r>
          </w:p>
        </w:tc>
      </w:tr>
      <w:tr w:rsidR="00166027" w:rsidRPr="0004263E" w14:paraId="7E0D0234" w14:textId="2E0E4613" w:rsidTr="00A83561">
        <w:tc>
          <w:tcPr>
            <w:cnfStyle w:val="001000000000" w:firstRow="0" w:lastRow="0" w:firstColumn="1" w:lastColumn="0" w:oddVBand="0" w:evenVBand="0" w:oddHBand="0" w:evenHBand="0" w:firstRowFirstColumn="0" w:firstRowLastColumn="0" w:lastRowFirstColumn="0" w:lastRowLastColumn="0"/>
            <w:tcW w:w="2213" w:type="dxa"/>
          </w:tcPr>
          <w:p w14:paraId="3C18B135" w14:textId="4E6311C0" w:rsidR="00166027" w:rsidRPr="0004263E" w:rsidRDefault="00166027" w:rsidP="003A134A">
            <w:pPr>
              <w:rPr>
                <w:b w:val="0"/>
                <w:bCs w:val="0"/>
                <w:noProof/>
                <w:sz w:val="22"/>
                <w:szCs w:val="22"/>
                <w:lang w:val="en-US"/>
              </w:rPr>
            </w:pPr>
            <w:r w:rsidRPr="0004263E">
              <w:rPr>
                <w:noProof/>
                <w:sz w:val="22"/>
                <w:szCs w:val="22"/>
                <w:lang w:val="en-US"/>
              </w:rPr>
              <w:lastRenderedPageBreak/>
              <w:t>Headaches/Migraines</w:t>
            </w:r>
          </w:p>
        </w:tc>
        <w:tc>
          <w:tcPr>
            <w:tcW w:w="6004" w:type="dxa"/>
          </w:tcPr>
          <w:p w14:paraId="1A5305AA" w14:textId="6B032CB4" w:rsidR="00166027" w:rsidRPr="0004263E" w:rsidRDefault="00166027" w:rsidP="0051663D">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Cases involving fewer than 4 migraines per month and/or fewer than 15 tension headaches per month may be accepted at standard rates without referral. More severe presentations may be subject to premium loading or decline.</w:t>
            </w:r>
          </w:p>
        </w:tc>
        <w:tc>
          <w:tcPr>
            <w:tcW w:w="6520" w:type="dxa"/>
          </w:tcPr>
          <w:p w14:paraId="74A2FFB2" w14:textId="7B738A31" w:rsidR="00166027" w:rsidRPr="0004263E" w:rsidRDefault="0004263E" w:rsidP="0051663D">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Whether the diagnosis has been medically confirmed, how many episodes occur each month, whether further investigation or follow up has been required, and whether the condition has caused any notable time off work.</w:t>
            </w:r>
          </w:p>
        </w:tc>
      </w:tr>
      <w:tr w:rsidR="00166027" w:rsidRPr="0004263E" w14:paraId="23578CDF" w14:textId="2C3843BB" w:rsidTr="00A83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7D508D63" w14:textId="787D7A62" w:rsidR="00166027" w:rsidRPr="0004263E" w:rsidRDefault="00166027" w:rsidP="003A134A">
            <w:pPr>
              <w:rPr>
                <w:b w:val="0"/>
                <w:bCs w:val="0"/>
                <w:noProof/>
                <w:sz w:val="22"/>
                <w:szCs w:val="22"/>
                <w:lang w:val="en-US"/>
              </w:rPr>
            </w:pPr>
            <w:r w:rsidRPr="0004263E">
              <w:rPr>
                <w:noProof/>
                <w:sz w:val="22"/>
                <w:szCs w:val="22"/>
                <w:lang w:val="en-US"/>
              </w:rPr>
              <w:t>BMI</w:t>
            </w:r>
          </w:p>
        </w:tc>
        <w:tc>
          <w:tcPr>
            <w:tcW w:w="6004" w:type="dxa"/>
          </w:tcPr>
          <w:p w14:paraId="164D0222" w14:textId="6EA5AA88" w:rsidR="00166027" w:rsidRPr="0004263E" w:rsidRDefault="00166027" w:rsidP="0051663D">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 xml:space="preserve">See </w:t>
            </w:r>
            <w:r w:rsidR="0004263E">
              <w:rPr>
                <w:noProof/>
                <w:sz w:val="22"/>
                <w:szCs w:val="22"/>
              </w:rPr>
              <w:t>t</w:t>
            </w:r>
            <w:r w:rsidR="0004263E">
              <w:t xml:space="preserve">he </w:t>
            </w:r>
            <w:hyperlink w:anchor="_BMI_Table" w:history="1">
              <w:r w:rsidRPr="0004263E">
                <w:rPr>
                  <w:rStyle w:val="Hyperlink"/>
                  <w:noProof/>
                  <w:sz w:val="22"/>
                  <w:szCs w:val="22"/>
                </w:rPr>
                <w:t>BMI Ta</w:t>
              </w:r>
              <w:r w:rsidRPr="0004263E">
                <w:rPr>
                  <w:rStyle w:val="Hyperlink"/>
                  <w:noProof/>
                  <w:sz w:val="22"/>
                  <w:szCs w:val="22"/>
                </w:rPr>
                <w:t>b</w:t>
              </w:r>
              <w:r w:rsidRPr="0004263E">
                <w:rPr>
                  <w:rStyle w:val="Hyperlink"/>
                  <w:noProof/>
                  <w:sz w:val="22"/>
                  <w:szCs w:val="22"/>
                </w:rPr>
                <w:t>le</w:t>
              </w:r>
            </w:hyperlink>
            <w:r w:rsidRPr="0004263E">
              <w:rPr>
                <w:noProof/>
                <w:sz w:val="22"/>
                <w:szCs w:val="22"/>
              </w:rPr>
              <w:t xml:space="preserve"> for </w:t>
            </w:r>
            <w:r w:rsidR="0004263E">
              <w:rPr>
                <w:noProof/>
                <w:sz w:val="22"/>
                <w:szCs w:val="22"/>
              </w:rPr>
              <w:t>a</w:t>
            </w:r>
            <w:r w:rsidR="0004263E">
              <w:t xml:space="preserve"> </w:t>
            </w:r>
            <w:r w:rsidRPr="0004263E">
              <w:rPr>
                <w:noProof/>
                <w:sz w:val="22"/>
                <w:szCs w:val="22"/>
              </w:rPr>
              <w:t>pdf of the rating calculator.</w:t>
            </w:r>
          </w:p>
        </w:tc>
        <w:tc>
          <w:tcPr>
            <w:tcW w:w="6520" w:type="dxa"/>
          </w:tcPr>
          <w:p w14:paraId="058B1E5A" w14:textId="41D27BD8" w:rsidR="00166027" w:rsidRPr="0004263E" w:rsidRDefault="0004263E" w:rsidP="0051663D">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Current height and weight, and whether there has been any material weight change in the last 12 months, including the highest</w:t>
            </w:r>
            <w:r>
              <w:rPr>
                <w:noProof/>
                <w:sz w:val="22"/>
                <w:szCs w:val="22"/>
              </w:rPr>
              <w:t xml:space="preserve"> and lowest</w:t>
            </w:r>
            <w:r w:rsidRPr="0004263E">
              <w:rPr>
                <w:noProof/>
                <w:sz w:val="22"/>
                <w:szCs w:val="22"/>
              </w:rPr>
              <w:t xml:space="preserve"> weight reached during that period</w:t>
            </w:r>
            <w:r>
              <w:rPr>
                <w:noProof/>
                <w:sz w:val="22"/>
                <w:szCs w:val="22"/>
              </w:rPr>
              <w:t xml:space="preserve"> and if it was intentional.</w:t>
            </w:r>
          </w:p>
        </w:tc>
      </w:tr>
      <w:tr w:rsidR="00166027" w:rsidRPr="0004263E" w14:paraId="2995855E" w14:textId="451805C3" w:rsidTr="00A83561">
        <w:tc>
          <w:tcPr>
            <w:cnfStyle w:val="001000000000" w:firstRow="0" w:lastRow="0" w:firstColumn="1" w:lastColumn="0" w:oddVBand="0" w:evenVBand="0" w:oddHBand="0" w:evenHBand="0" w:firstRowFirstColumn="0" w:firstRowLastColumn="0" w:lastRowFirstColumn="0" w:lastRowLastColumn="0"/>
            <w:tcW w:w="2213" w:type="dxa"/>
          </w:tcPr>
          <w:p w14:paraId="5B31EBE0" w14:textId="7E1E2328" w:rsidR="00166027" w:rsidRPr="0004263E" w:rsidRDefault="00166027" w:rsidP="003A134A">
            <w:pPr>
              <w:rPr>
                <w:b w:val="0"/>
                <w:bCs w:val="0"/>
                <w:noProof/>
                <w:sz w:val="22"/>
                <w:szCs w:val="22"/>
              </w:rPr>
            </w:pPr>
            <w:r w:rsidRPr="0004263E">
              <w:rPr>
                <w:noProof/>
                <w:sz w:val="22"/>
                <w:szCs w:val="22"/>
              </w:rPr>
              <w:t>Hip joint disorders</w:t>
            </w:r>
          </w:p>
        </w:tc>
        <w:tc>
          <w:tcPr>
            <w:tcW w:w="6004" w:type="dxa"/>
          </w:tcPr>
          <w:p w14:paraId="2532D156" w14:textId="6092EA15" w:rsidR="00166027" w:rsidRPr="0004263E" w:rsidRDefault="00166027" w:rsidP="0051663D">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These cases are often subject to an exclusion, although standard rates may be available following full underwriting assessment in some circumstances.</w:t>
            </w:r>
          </w:p>
        </w:tc>
        <w:tc>
          <w:tcPr>
            <w:tcW w:w="6520" w:type="dxa"/>
          </w:tcPr>
          <w:p w14:paraId="45A1E3FB" w14:textId="770D0E0B" w:rsidR="00166027" w:rsidRPr="0004263E" w:rsidRDefault="0004263E" w:rsidP="0051663D">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Which hip condition is involved, whether symptoms are ongoing, whether surgery has been required and led to full recovery, whether there is any loss of function or nerve involvement, and whether any time off work has been required.</w:t>
            </w:r>
          </w:p>
        </w:tc>
      </w:tr>
      <w:tr w:rsidR="00166027" w:rsidRPr="0004263E" w14:paraId="215BC65E" w14:textId="6EB3DB5D" w:rsidTr="00A83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6E3772A7" w14:textId="6A759136" w:rsidR="00166027" w:rsidRPr="0004263E" w:rsidRDefault="00166027" w:rsidP="009F5122">
            <w:pPr>
              <w:rPr>
                <w:b w:val="0"/>
                <w:bCs w:val="0"/>
                <w:noProof/>
                <w:sz w:val="22"/>
                <w:szCs w:val="22"/>
                <w:lang w:val="en-US"/>
              </w:rPr>
            </w:pPr>
            <w:r w:rsidRPr="0004263E">
              <w:rPr>
                <w:noProof/>
                <w:sz w:val="22"/>
                <w:szCs w:val="22"/>
              </w:rPr>
              <w:t>Knee and Shoulder joint disorders</w:t>
            </w:r>
          </w:p>
        </w:tc>
        <w:tc>
          <w:tcPr>
            <w:tcW w:w="6004" w:type="dxa"/>
          </w:tcPr>
          <w:p w14:paraId="60366208" w14:textId="2765E95B" w:rsidR="00166027" w:rsidRPr="0004263E" w:rsidRDefault="00166027" w:rsidP="0051663D">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Minor cases may be considered at standard rates without referral where symptoms have fully resolved. In other cases, an exclusion is more likely to apply.</w:t>
            </w:r>
          </w:p>
        </w:tc>
        <w:tc>
          <w:tcPr>
            <w:tcW w:w="6520" w:type="dxa"/>
          </w:tcPr>
          <w:p w14:paraId="04F36E0F" w14:textId="515DDF38" w:rsidR="00166027" w:rsidRPr="0004263E" w:rsidRDefault="0004263E" w:rsidP="0051663D">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Which joint is affected, whether symptoms are ongoing, whether surgery has been required and led to full recovery, whether more than one area is involved, whether there is any loss of function or nerve involvement, and whether any time off work has been required.</w:t>
            </w:r>
          </w:p>
        </w:tc>
      </w:tr>
      <w:tr w:rsidR="00166027" w:rsidRPr="0004263E" w14:paraId="753B454E" w14:textId="09D1DEE3" w:rsidTr="00A83561">
        <w:tc>
          <w:tcPr>
            <w:cnfStyle w:val="001000000000" w:firstRow="0" w:lastRow="0" w:firstColumn="1" w:lastColumn="0" w:oddVBand="0" w:evenVBand="0" w:oddHBand="0" w:evenHBand="0" w:firstRowFirstColumn="0" w:firstRowLastColumn="0" w:lastRowFirstColumn="0" w:lastRowLastColumn="0"/>
            <w:tcW w:w="2213" w:type="dxa"/>
          </w:tcPr>
          <w:p w14:paraId="30AF7C51" w14:textId="1A7A8CBB" w:rsidR="00166027" w:rsidRPr="0004263E" w:rsidRDefault="00166027" w:rsidP="009F5122">
            <w:pPr>
              <w:rPr>
                <w:b w:val="0"/>
                <w:bCs w:val="0"/>
                <w:noProof/>
                <w:sz w:val="22"/>
                <w:szCs w:val="22"/>
              </w:rPr>
            </w:pPr>
            <w:r w:rsidRPr="0004263E">
              <w:rPr>
                <w:noProof/>
                <w:sz w:val="22"/>
                <w:szCs w:val="22"/>
              </w:rPr>
              <w:t>Stress related disorders</w:t>
            </w:r>
          </w:p>
        </w:tc>
        <w:tc>
          <w:tcPr>
            <w:tcW w:w="6004" w:type="dxa"/>
          </w:tcPr>
          <w:p w14:paraId="57410A76" w14:textId="6951C247" w:rsidR="00166027" w:rsidRPr="0004263E" w:rsidRDefault="00166027" w:rsidP="0051663D">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Resolved stress-related conditions can now be considered for standard terms without referral once the client has been symptom free for more than 2 years, rather than being assessed under broader mental health conditions at quote stage.</w:t>
            </w:r>
          </w:p>
        </w:tc>
        <w:tc>
          <w:tcPr>
            <w:tcW w:w="6520" w:type="dxa"/>
          </w:tcPr>
          <w:p w14:paraId="53606F19" w14:textId="39DE2670" w:rsidR="00166027" w:rsidRPr="0004263E" w:rsidRDefault="0004263E" w:rsidP="0051663D">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When symptoms last occurred, whether the condition is fully resolved, any treatment or talking therapy, any impact on daily functioning, any history of hospital admission or self-harm, and any time off work.</w:t>
            </w:r>
          </w:p>
        </w:tc>
      </w:tr>
      <w:tr w:rsidR="00166027" w:rsidRPr="0004263E" w14:paraId="2BE6EC74" w14:textId="3592FA9C" w:rsidTr="00A83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1BB79111" w14:textId="65514246" w:rsidR="00166027" w:rsidRPr="0004263E" w:rsidRDefault="00166027" w:rsidP="009F5122">
            <w:pPr>
              <w:rPr>
                <w:b w:val="0"/>
                <w:bCs w:val="0"/>
                <w:noProof/>
                <w:sz w:val="22"/>
                <w:szCs w:val="22"/>
              </w:rPr>
            </w:pPr>
            <w:r w:rsidRPr="0004263E">
              <w:rPr>
                <w:noProof/>
                <w:sz w:val="22"/>
                <w:szCs w:val="22"/>
              </w:rPr>
              <w:t>Thyroid conditions</w:t>
            </w:r>
          </w:p>
        </w:tc>
        <w:tc>
          <w:tcPr>
            <w:tcW w:w="6004" w:type="dxa"/>
          </w:tcPr>
          <w:p w14:paraId="6C44F138" w14:textId="7F5F81DF" w:rsidR="00166027" w:rsidRPr="0004263E" w:rsidRDefault="00166027" w:rsidP="0051663D">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Stable and well-managed thyroid conditions can often proceed immediately at standard rates without referral, including acute conditions with full recovery and chronic conditions that are controlled and asymptomatic.</w:t>
            </w:r>
          </w:p>
        </w:tc>
        <w:tc>
          <w:tcPr>
            <w:tcW w:w="6520" w:type="dxa"/>
          </w:tcPr>
          <w:p w14:paraId="62A4F50E" w14:textId="2DC9E5C5" w:rsidR="00166027" w:rsidRPr="0004263E" w:rsidRDefault="0004263E" w:rsidP="0051663D">
            <w:pPr>
              <w:cnfStyle w:val="000000100000" w:firstRow="0" w:lastRow="0" w:firstColumn="0" w:lastColumn="0" w:oddVBand="0" w:evenVBand="0" w:oddHBand="1" w:evenHBand="0" w:firstRowFirstColumn="0" w:firstRowLastColumn="0" w:lastRowFirstColumn="0" w:lastRowLastColumn="0"/>
              <w:rPr>
                <w:noProof/>
                <w:sz w:val="22"/>
                <w:szCs w:val="22"/>
              </w:rPr>
            </w:pPr>
            <w:r w:rsidRPr="0004263E">
              <w:rPr>
                <w:noProof/>
                <w:sz w:val="22"/>
                <w:szCs w:val="22"/>
              </w:rPr>
              <w:t>Whether the condition is stable, whether specialist care is ongoing, whether surgery or radioiodine treatment has been needed, whether medication has changed recently, whether thyroid function has remained within the normal range, and when symptoms last occurred.</w:t>
            </w:r>
          </w:p>
        </w:tc>
      </w:tr>
      <w:tr w:rsidR="00166027" w:rsidRPr="0004263E" w14:paraId="79D148FD" w14:textId="6D5A17BD" w:rsidTr="00A83561">
        <w:tc>
          <w:tcPr>
            <w:cnfStyle w:val="001000000000" w:firstRow="0" w:lastRow="0" w:firstColumn="1" w:lastColumn="0" w:oddVBand="0" w:evenVBand="0" w:oddHBand="0" w:evenHBand="0" w:firstRowFirstColumn="0" w:firstRowLastColumn="0" w:lastRowFirstColumn="0" w:lastRowLastColumn="0"/>
            <w:tcW w:w="2213" w:type="dxa"/>
          </w:tcPr>
          <w:p w14:paraId="6C0991CB" w14:textId="4A1B612B" w:rsidR="00166027" w:rsidRPr="0004263E" w:rsidRDefault="00166027" w:rsidP="009F5122">
            <w:pPr>
              <w:rPr>
                <w:b w:val="0"/>
                <w:bCs w:val="0"/>
                <w:noProof/>
                <w:sz w:val="22"/>
                <w:szCs w:val="22"/>
              </w:rPr>
            </w:pPr>
            <w:r w:rsidRPr="0004263E">
              <w:rPr>
                <w:noProof/>
                <w:sz w:val="22"/>
                <w:szCs w:val="22"/>
              </w:rPr>
              <w:t>Urinary tract infection</w:t>
            </w:r>
          </w:p>
        </w:tc>
        <w:tc>
          <w:tcPr>
            <w:tcW w:w="6004" w:type="dxa"/>
          </w:tcPr>
          <w:p w14:paraId="462AFA4D" w14:textId="1B7D9144" w:rsidR="00166027" w:rsidRPr="0004263E" w:rsidRDefault="00166027" w:rsidP="0051663D">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Acute cases with full recovery, and chronic cases with no symptoms in the last 6 months, may be considered at standard rates without referral. Some chronic cases may still be acceptable with premium loading rather than an exclusion.</w:t>
            </w:r>
          </w:p>
        </w:tc>
        <w:tc>
          <w:tcPr>
            <w:tcW w:w="6520" w:type="dxa"/>
          </w:tcPr>
          <w:p w14:paraId="344D9EF4" w14:textId="6A730FB0" w:rsidR="00166027" w:rsidRPr="0004263E" w:rsidRDefault="0004263E" w:rsidP="0051663D">
            <w:pPr>
              <w:cnfStyle w:val="000000000000" w:firstRow="0" w:lastRow="0" w:firstColumn="0" w:lastColumn="0" w:oddVBand="0" w:evenVBand="0" w:oddHBand="0" w:evenHBand="0" w:firstRowFirstColumn="0" w:firstRowLastColumn="0" w:lastRowFirstColumn="0" w:lastRowLastColumn="0"/>
              <w:rPr>
                <w:noProof/>
                <w:sz w:val="22"/>
                <w:szCs w:val="22"/>
              </w:rPr>
            </w:pPr>
            <w:r w:rsidRPr="0004263E">
              <w:rPr>
                <w:noProof/>
                <w:sz w:val="22"/>
                <w:szCs w:val="22"/>
              </w:rPr>
              <w:t>The exact urinary condition, whether symptoms have fully resolved, how many times it has occurred, when symptoms last occurred, whether any treatment or follow up is ongoing, whether kidney function and urine have returned to normal, and whether any further tests or referrals are needed.</w:t>
            </w:r>
          </w:p>
        </w:tc>
      </w:tr>
    </w:tbl>
    <w:p w14:paraId="37F78CFE" w14:textId="1DC549FE" w:rsidR="007735B7" w:rsidRDefault="007735B7" w:rsidP="00633A10">
      <w:pPr>
        <w:rPr>
          <w:b/>
          <w:bCs/>
          <w:noProof/>
        </w:rPr>
      </w:pPr>
    </w:p>
    <w:p w14:paraId="3E847A8F" w14:textId="77777777" w:rsidR="0004263E" w:rsidRDefault="0004263E" w:rsidP="00633A10">
      <w:pPr>
        <w:rPr>
          <w:b/>
          <w:bCs/>
          <w:noProof/>
        </w:rPr>
      </w:pPr>
    </w:p>
    <w:p w14:paraId="08F014B9" w14:textId="77777777" w:rsidR="0004263E" w:rsidRDefault="0004263E" w:rsidP="00633A10">
      <w:pPr>
        <w:rPr>
          <w:b/>
          <w:bCs/>
          <w:noProof/>
        </w:rPr>
      </w:pPr>
    </w:p>
    <w:p w14:paraId="535705EE" w14:textId="1531A76C" w:rsidR="00B563E0" w:rsidRPr="0004263E" w:rsidRDefault="0004263E" w:rsidP="00B563E0">
      <w:pPr>
        <w:spacing w:after="0" w:line="240" w:lineRule="auto"/>
        <w:rPr>
          <w:b/>
          <w:bCs/>
          <w:noProof/>
          <w:sz w:val="24"/>
          <w:szCs w:val="24"/>
        </w:rPr>
      </w:pPr>
      <w:r>
        <w:rPr>
          <w:b/>
          <w:bCs/>
          <w:noProof/>
          <w:sz w:val="24"/>
          <w:szCs w:val="24"/>
        </w:rPr>
        <w:lastRenderedPageBreak/>
        <w:t xml:space="preserve">Conditions that we are </w:t>
      </w:r>
      <w:r w:rsidR="00B563E0" w:rsidRPr="0004263E">
        <w:rPr>
          <w:b/>
          <w:bCs/>
          <w:noProof/>
          <w:sz w:val="24"/>
          <w:szCs w:val="24"/>
        </w:rPr>
        <w:t xml:space="preserve">unable to offer terms </w:t>
      </w:r>
      <w:r w:rsidR="0097136E" w:rsidRPr="0004263E">
        <w:rPr>
          <w:b/>
          <w:bCs/>
          <w:noProof/>
          <w:sz w:val="24"/>
          <w:szCs w:val="24"/>
        </w:rPr>
        <w:t>under any circumstances</w:t>
      </w:r>
      <w:r w:rsidR="00B563E0" w:rsidRPr="0004263E">
        <w:rPr>
          <w:b/>
          <w:bCs/>
          <w:noProof/>
          <w:sz w:val="24"/>
          <w:szCs w:val="24"/>
        </w:rPr>
        <w:t>:</w:t>
      </w:r>
    </w:p>
    <w:p w14:paraId="29B8F204" w14:textId="77777777" w:rsidR="00B563E0" w:rsidRPr="0004263E" w:rsidRDefault="00B563E0" w:rsidP="00B563E0">
      <w:pPr>
        <w:spacing w:after="0" w:line="240" w:lineRule="auto"/>
        <w:rPr>
          <w:b/>
          <w:bCs/>
          <w:noProof/>
          <w:sz w:val="24"/>
          <w:szCs w:val="24"/>
        </w:rPr>
      </w:pPr>
    </w:p>
    <w:p w14:paraId="19962E2A" w14:textId="77777777" w:rsidR="00B563E0" w:rsidRPr="0004263E" w:rsidRDefault="00B563E0" w:rsidP="00B563E0">
      <w:pPr>
        <w:pStyle w:val="ListParagraph"/>
        <w:numPr>
          <w:ilvl w:val="0"/>
          <w:numId w:val="60"/>
        </w:numPr>
        <w:spacing w:after="0" w:line="240" w:lineRule="auto"/>
        <w:rPr>
          <w:b/>
          <w:bCs/>
          <w:noProof/>
          <w:sz w:val="24"/>
          <w:szCs w:val="24"/>
        </w:rPr>
      </w:pPr>
      <w:r w:rsidRPr="0004263E">
        <w:rPr>
          <w:b/>
          <w:bCs/>
          <w:noProof/>
          <w:sz w:val="24"/>
          <w:szCs w:val="24"/>
        </w:rPr>
        <w:t>Ischaemic heart disease (including heart attack and Angina)</w:t>
      </w:r>
    </w:p>
    <w:p w14:paraId="3175B316" w14:textId="77777777" w:rsidR="00B563E0" w:rsidRPr="0004263E" w:rsidRDefault="00B563E0" w:rsidP="00B563E0">
      <w:pPr>
        <w:pStyle w:val="ListParagraph"/>
        <w:numPr>
          <w:ilvl w:val="0"/>
          <w:numId w:val="60"/>
        </w:numPr>
        <w:spacing w:after="0" w:line="240" w:lineRule="auto"/>
        <w:rPr>
          <w:b/>
          <w:bCs/>
          <w:noProof/>
          <w:sz w:val="24"/>
          <w:szCs w:val="24"/>
        </w:rPr>
      </w:pPr>
      <w:r w:rsidRPr="0004263E">
        <w:rPr>
          <w:b/>
          <w:bCs/>
          <w:noProof/>
          <w:sz w:val="24"/>
          <w:szCs w:val="24"/>
        </w:rPr>
        <w:t>Stroke (including mini stroke, TIA)</w:t>
      </w:r>
    </w:p>
    <w:p w14:paraId="0B6424D1" w14:textId="77777777" w:rsidR="00B563E0" w:rsidRPr="0004263E" w:rsidRDefault="00B563E0" w:rsidP="00B563E0">
      <w:pPr>
        <w:pStyle w:val="ListParagraph"/>
        <w:numPr>
          <w:ilvl w:val="0"/>
          <w:numId w:val="60"/>
        </w:numPr>
        <w:spacing w:after="0" w:line="240" w:lineRule="auto"/>
        <w:rPr>
          <w:b/>
          <w:bCs/>
          <w:noProof/>
          <w:sz w:val="24"/>
          <w:szCs w:val="24"/>
        </w:rPr>
      </w:pPr>
      <w:r w:rsidRPr="0004263E">
        <w:rPr>
          <w:b/>
          <w:bCs/>
          <w:noProof/>
          <w:sz w:val="24"/>
          <w:szCs w:val="24"/>
        </w:rPr>
        <w:t>Multiple sclerosis</w:t>
      </w:r>
    </w:p>
    <w:p w14:paraId="1BE526E4" w14:textId="77777777" w:rsidR="00B563E0" w:rsidRPr="0004263E" w:rsidRDefault="00B563E0" w:rsidP="00B563E0">
      <w:pPr>
        <w:pStyle w:val="ListParagraph"/>
        <w:numPr>
          <w:ilvl w:val="0"/>
          <w:numId w:val="60"/>
        </w:numPr>
        <w:spacing w:after="0" w:line="240" w:lineRule="auto"/>
        <w:rPr>
          <w:b/>
          <w:bCs/>
          <w:noProof/>
          <w:sz w:val="24"/>
          <w:szCs w:val="24"/>
        </w:rPr>
      </w:pPr>
      <w:r w:rsidRPr="0004263E">
        <w:rPr>
          <w:b/>
          <w:bCs/>
          <w:noProof/>
          <w:sz w:val="24"/>
          <w:szCs w:val="24"/>
        </w:rPr>
        <w:t>Muscular dystrophies</w:t>
      </w:r>
    </w:p>
    <w:p w14:paraId="4111BED0" w14:textId="77777777" w:rsidR="00B563E0" w:rsidRPr="0004263E" w:rsidRDefault="00B563E0" w:rsidP="00B563E0">
      <w:pPr>
        <w:pStyle w:val="ListParagraph"/>
        <w:numPr>
          <w:ilvl w:val="0"/>
          <w:numId w:val="60"/>
        </w:numPr>
        <w:spacing w:after="0" w:line="240" w:lineRule="auto"/>
        <w:rPr>
          <w:b/>
          <w:bCs/>
          <w:noProof/>
          <w:sz w:val="24"/>
          <w:szCs w:val="24"/>
        </w:rPr>
      </w:pPr>
      <w:r w:rsidRPr="0004263E">
        <w:rPr>
          <w:b/>
          <w:bCs/>
          <w:noProof/>
          <w:sz w:val="24"/>
          <w:szCs w:val="24"/>
        </w:rPr>
        <w:t>Cerebral palsy</w:t>
      </w:r>
    </w:p>
    <w:p w14:paraId="60D1FE10" w14:textId="77777777" w:rsidR="00B563E0" w:rsidRPr="0004263E" w:rsidRDefault="00B563E0" w:rsidP="00B563E0">
      <w:pPr>
        <w:pStyle w:val="ListParagraph"/>
        <w:numPr>
          <w:ilvl w:val="0"/>
          <w:numId w:val="60"/>
        </w:numPr>
        <w:spacing w:after="0" w:line="240" w:lineRule="auto"/>
        <w:rPr>
          <w:b/>
          <w:bCs/>
          <w:noProof/>
          <w:sz w:val="24"/>
          <w:szCs w:val="24"/>
        </w:rPr>
      </w:pPr>
      <w:r w:rsidRPr="0004263E">
        <w:rPr>
          <w:b/>
          <w:bCs/>
          <w:noProof/>
          <w:sz w:val="24"/>
          <w:szCs w:val="24"/>
        </w:rPr>
        <w:t>Liver cirrhosis</w:t>
      </w:r>
    </w:p>
    <w:p w14:paraId="730C971B" w14:textId="77777777" w:rsidR="00B563E0" w:rsidRPr="0004263E" w:rsidRDefault="00B563E0" w:rsidP="00B563E0">
      <w:pPr>
        <w:pStyle w:val="ListParagraph"/>
        <w:numPr>
          <w:ilvl w:val="0"/>
          <w:numId w:val="60"/>
        </w:numPr>
        <w:spacing w:after="0" w:line="240" w:lineRule="auto"/>
        <w:rPr>
          <w:b/>
          <w:bCs/>
          <w:noProof/>
          <w:sz w:val="24"/>
          <w:szCs w:val="24"/>
        </w:rPr>
      </w:pPr>
      <w:r w:rsidRPr="0004263E">
        <w:rPr>
          <w:b/>
          <w:bCs/>
          <w:noProof/>
          <w:sz w:val="24"/>
          <w:szCs w:val="24"/>
        </w:rPr>
        <w:t>Chronic kidney disease (CKD) stages 3 or 4</w:t>
      </w:r>
    </w:p>
    <w:p w14:paraId="450DEB35" w14:textId="77777777" w:rsidR="00B563E0" w:rsidRPr="0004263E" w:rsidRDefault="00B563E0" w:rsidP="00B563E0">
      <w:pPr>
        <w:pStyle w:val="ListParagraph"/>
        <w:numPr>
          <w:ilvl w:val="0"/>
          <w:numId w:val="60"/>
        </w:numPr>
        <w:spacing w:after="0" w:line="240" w:lineRule="auto"/>
        <w:rPr>
          <w:b/>
          <w:bCs/>
          <w:noProof/>
          <w:sz w:val="24"/>
          <w:szCs w:val="24"/>
        </w:rPr>
      </w:pPr>
      <w:r w:rsidRPr="0004263E">
        <w:rPr>
          <w:b/>
          <w:bCs/>
          <w:noProof/>
          <w:sz w:val="24"/>
          <w:szCs w:val="24"/>
        </w:rPr>
        <w:t>Cystic fibrosis</w:t>
      </w:r>
    </w:p>
    <w:p w14:paraId="42052898" w14:textId="77777777" w:rsidR="00B563E0" w:rsidRPr="0004263E" w:rsidRDefault="00B563E0" w:rsidP="00B563E0">
      <w:pPr>
        <w:pStyle w:val="ListParagraph"/>
        <w:numPr>
          <w:ilvl w:val="0"/>
          <w:numId w:val="60"/>
        </w:numPr>
        <w:spacing w:after="0" w:line="240" w:lineRule="auto"/>
        <w:rPr>
          <w:b/>
          <w:bCs/>
          <w:noProof/>
          <w:sz w:val="24"/>
          <w:szCs w:val="24"/>
        </w:rPr>
      </w:pPr>
      <w:r w:rsidRPr="0004263E">
        <w:rPr>
          <w:b/>
          <w:bCs/>
          <w:noProof/>
          <w:sz w:val="24"/>
          <w:szCs w:val="24"/>
        </w:rPr>
        <w:t>Pulmonary fibrosis</w:t>
      </w:r>
    </w:p>
    <w:p w14:paraId="5AF32EFA" w14:textId="77777777" w:rsidR="00B563E0" w:rsidRPr="0004263E" w:rsidRDefault="00B563E0" w:rsidP="00B563E0">
      <w:pPr>
        <w:pStyle w:val="ListParagraph"/>
        <w:numPr>
          <w:ilvl w:val="0"/>
          <w:numId w:val="60"/>
        </w:numPr>
        <w:spacing w:after="0" w:line="240" w:lineRule="auto"/>
        <w:rPr>
          <w:b/>
          <w:bCs/>
          <w:noProof/>
          <w:sz w:val="24"/>
          <w:szCs w:val="24"/>
        </w:rPr>
      </w:pPr>
      <w:r w:rsidRPr="0004263E">
        <w:rPr>
          <w:b/>
          <w:bCs/>
          <w:noProof/>
          <w:sz w:val="24"/>
          <w:szCs w:val="24"/>
        </w:rPr>
        <w:t>Sickle cell anaemia</w:t>
      </w:r>
    </w:p>
    <w:p w14:paraId="3E5E0BE8" w14:textId="77777777" w:rsidR="00B563E0" w:rsidRPr="0004263E" w:rsidRDefault="00B563E0" w:rsidP="00B563E0">
      <w:pPr>
        <w:pStyle w:val="ListParagraph"/>
        <w:numPr>
          <w:ilvl w:val="0"/>
          <w:numId w:val="60"/>
        </w:numPr>
        <w:spacing w:after="0" w:line="240" w:lineRule="auto"/>
        <w:rPr>
          <w:b/>
          <w:bCs/>
          <w:noProof/>
          <w:sz w:val="24"/>
          <w:szCs w:val="24"/>
        </w:rPr>
      </w:pPr>
      <w:r w:rsidRPr="0004263E">
        <w:rPr>
          <w:b/>
          <w:bCs/>
          <w:noProof/>
          <w:sz w:val="24"/>
          <w:szCs w:val="24"/>
        </w:rPr>
        <w:t>Rheumatoid &amp; Psoriatic arthropathies</w:t>
      </w:r>
    </w:p>
    <w:p w14:paraId="38FB8A04" w14:textId="77777777" w:rsidR="00B563E0" w:rsidRPr="0004263E" w:rsidRDefault="00B563E0" w:rsidP="00B563E0">
      <w:pPr>
        <w:pStyle w:val="ListParagraph"/>
        <w:numPr>
          <w:ilvl w:val="0"/>
          <w:numId w:val="60"/>
        </w:numPr>
        <w:spacing w:after="0" w:line="240" w:lineRule="auto"/>
        <w:rPr>
          <w:b/>
          <w:bCs/>
          <w:noProof/>
          <w:sz w:val="24"/>
          <w:szCs w:val="24"/>
        </w:rPr>
      </w:pPr>
      <w:r w:rsidRPr="0004263E">
        <w:rPr>
          <w:b/>
          <w:bCs/>
          <w:noProof/>
          <w:sz w:val="24"/>
          <w:szCs w:val="24"/>
        </w:rPr>
        <w:t>Connective tissue disorders</w:t>
      </w:r>
    </w:p>
    <w:p w14:paraId="5BEE6A75" w14:textId="24EA80EA" w:rsidR="009F5122" w:rsidRPr="0004263E" w:rsidRDefault="00B563E0" w:rsidP="00B563E0">
      <w:pPr>
        <w:pStyle w:val="ListParagraph"/>
        <w:numPr>
          <w:ilvl w:val="0"/>
          <w:numId w:val="60"/>
        </w:numPr>
        <w:spacing w:after="0" w:line="240" w:lineRule="auto"/>
        <w:rPr>
          <w:b/>
          <w:bCs/>
          <w:noProof/>
          <w:sz w:val="24"/>
          <w:szCs w:val="24"/>
        </w:rPr>
      </w:pPr>
      <w:r w:rsidRPr="0004263E">
        <w:rPr>
          <w:b/>
          <w:bCs/>
          <w:noProof/>
          <w:sz w:val="24"/>
          <w:szCs w:val="24"/>
        </w:rPr>
        <w:t>Paralysis</w:t>
      </w:r>
    </w:p>
    <w:p w14:paraId="4E0207AC" w14:textId="79B840B4" w:rsidR="0097136E" w:rsidRPr="0004263E" w:rsidRDefault="0097136E" w:rsidP="00B563E0">
      <w:pPr>
        <w:pStyle w:val="ListParagraph"/>
        <w:numPr>
          <w:ilvl w:val="0"/>
          <w:numId w:val="60"/>
        </w:numPr>
        <w:spacing w:after="0" w:line="240" w:lineRule="auto"/>
        <w:rPr>
          <w:b/>
          <w:bCs/>
          <w:noProof/>
          <w:sz w:val="24"/>
          <w:szCs w:val="24"/>
        </w:rPr>
      </w:pPr>
      <w:r w:rsidRPr="0004263E">
        <w:rPr>
          <w:b/>
          <w:bCs/>
          <w:noProof/>
          <w:sz w:val="24"/>
          <w:szCs w:val="24"/>
        </w:rPr>
        <w:t>HIV</w:t>
      </w:r>
    </w:p>
    <w:p w14:paraId="491AD5D9" w14:textId="77777777" w:rsidR="00B563E0" w:rsidRDefault="00B563E0" w:rsidP="00B563E0">
      <w:pPr>
        <w:spacing w:after="0" w:line="240" w:lineRule="auto"/>
        <w:rPr>
          <w:b/>
          <w:bCs/>
          <w:noProof/>
        </w:rPr>
      </w:pPr>
    </w:p>
    <w:p w14:paraId="275BE40B" w14:textId="77777777" w:rsidR="0004263E" w:rsidRDefault="0004263E" w:rsidP="00B563E0">
      <w:pPr>
        <w:spacing w:after="0" w:line="240" w:lineRule="auto"/>
        <w:rPr>
          <w:b/>
          <w:bCs/>
          <w:noProof/>
        </w:rPr>
      </w:pPr>
    </w:p>
    <w:p w14:paraId="0826FC0A" w14:textId="77777777" w:rsidR="0004263E" w:rsidRPr="00B563E0" w:rsidRDefault="0004263E" w:rsidP="00B563E0">
      <w:pPr>
        <w:spacing w:after="0" w:line="240" w:lineRule="auto"/>
        <w:rPr>
          <w:b/>
          <w:bCs/>
          <w:noProof/>
        </w:rPr>
      </w:pPr>
    </w:p>
    <w:p w14:paraId="57129859" w14:textId="77777777" w:rsidR="00B563E0" w:rsidRDefault="00B563E0" w:rsidP="0004263E">
      <w:pPr>
        <w:pStyle w:val="Heading1"/>
      </w:pPr>
      <w:bookmarkStart w:id="2" w:name="_BMI_Table"/>
      <w:bookmarkStart w:id="3" w:name="_Toc224126029"/>
      <w:bookmarkEnd w:id="2"/>
      <w:r>
        <w:t>BMI Table</w:t>
      </w:r>
      <w:bookmarkEnd w:id="3"/>
    </w:p>
    <w:p w14:paraId="7F6B7C8C" w14:textId="77777777" w:rsidR="00B563E0" w:rsidRDefault="00B563E0" w:rsidP="00B563E0"/>
    <w:p w14:paraId="59960E7A" w14:textId="7BA51C2D" w:rsidR="00B563E0" w:rsidRPr="00097DDA" w:rsidRDefault="00CA6772" w:rsidP="00B563E0">
      <w:r>
        <w:object w:dxaOrig="1537" w:dyaOrig="997" w14:anchorId="52A32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Package" ShapeID="_x0000_i1025" DrawAspect="Icon" ObjectID="_1834821368" r:id="rId11"/>
        </w:object>
      </w:r>
    </w:p>
    <w:p w14:paraId="251C023F" w14:textId="77777777" w:rsidR="00097DDA" w:rsidRDefault="00097DDA" w:rsidP="00493D68"/>
    <w:sectPr w:rsidR="00097DDA" w:rsidSect="00166027">
      <w:headerReference w:type="default" r:id="rId12"/>
      <w:footerReference w:type="default" r:id="rId13"/>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9C4A5" w14:textId="77777777" w:rsidR="009137CD" w:rsidRDefault="009137CD" w:rsidP="003A2BF3">
      <w:pPr>
        <w:spacing w:after="0" w:line="240" w:lineRule="auto"/>
      </w:pPr>
      <w:r>
        <w:separator/>
      </w:r>
    </w:p>
  </w:endnote>
  <w:endnote w:type="continuationSeparator" w:id="0">
    <w:p w14:paraId="619E620F" w14:textId="77777777" w:rsidR="009137CD" w:rsidRDefault="009137CD" w:rsidP="003A2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7C051" w14:textId="3989583C" w:rsidR="00674F63" w:rsidRPr="00F51464" w:rsidRDefault="00F51464">
    <w:pPr>
      <w:pStyle w:val="Footer"/>
    </w:pPr>
    <w:r>
      <w:t xml:space="preserve">Version: </w:t>
    </w:r>
    <w:hyperlink r:id="rId1" w:history="1">
      <w:r w:rsidR="00674F63" w:rsidRPr="00F51464">
        <w:rPr>
          <w:rStyle w:val="Hyperlink"/>
          <w:u w:val="none"/>
        </w:rPr>
        <w:t>(00) IP - RAC - FHAL v1.0</w:t>
      </w:r>
    </w:hyperlink>
    <w:r w:rsidR="00701E07">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C4F48" w14:textId="77777777" w:rsidR="009137CD" w:rsidRDefault="009137CD" w:rsidP="003A2BF3">
      <w:pPr>
        <w:spacing w:after="0" w:line="240" w:lineRule="auto"/>
      </w:pPr>
      <w:r>
        <w:separator/>
      </w:r>
    </w:p>
  </w:footnote>
  <w:footnote w:type="continuationSeparator" w:id="0">
    <w:p w14:paraId="1DBAF485" w14:textId="77777777" w:rsidR="009137CD" w:rsidRDefault="009137CD" w:rsidP="003A2B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CB67" w14:textId="4C759E72" w:rsidR="003A2BF3" w:rsidRDefault="002E3319">
    <w:pPr>
      <w:pStyle w:val="Header"/>
    </w:pPr>
    <w:r w:rsidRPr="00801665">
      <w:rPr>
        <w:b/>
        <w:bCs/>
        <w:noProof/>
      </w:rPr>
      <w:drawing>
        <wp:anchor distT="0" distB="0" distL="114300" distR="114300" simplePos="0" relativeHeight="251657216" behindDoc="0" locked="0" layoutInCell="1" allowOverlap="1" wp14:anchorId="51B8B6DF" wp14:editId="29933F3D">
          <wp:simplePos x="0" y="0"/>
          <wp:positionH relativeFrom="page">
            <wp:posOffset>9023985</wp:posOffset>
          </wp:positionH>
          <wp:positionV relativeFrom="margin">
            <wp:posOffset>-741680</wp:posOffset>
          </wp:positionV>
          <wp:extent cx="1411272" cy="453224"/>
          <wp:effectExtent l="0" t="0" r="0" b="4445"/>
          <wp:wrapNone/>
          <wp:docPr id="1207248419" name="Picture 3" descr="A blue text on a black background&#10;&#10;AI-generated content may be incorrect.">
            <a:extLst xmlns:a="http://schemas.openxmlformats.org/drawingml/2006/main">
              <a:ext uri="{FF2B5EF4-FFF2-40B4-BE49-F238E27FC236}">
                <a16:creationId xmlns:a16="http://schemas.microsoft.com/office/drawing/2014/main" id="{3D5B04A8-70ED-D62F-A6F8-2663344A8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text on a black background&#10;&#10;AI-generated content may be incorrect.">
                    <a:extLst>
                      <a:ext uri="{FF2B5EF4-FFF2-40B4-BE49-F238E27FC236}">
                        <a16:creationId xmlns:a16="http://schemas.microsoft.com/office/drawing/2014/main" id="{3D5B04A8-70ED-D62F-A6F8-2663344A8CAA}"/>
                      </a:ext>
                    </a:extLst>
                  </pic:cNvPr>
                  <pic:cNvPicPr>
                    <a:picLocks noChangeAspect="1"/>
                  </pic:cNvPicPr>
                </pic:nvPicPr>
                <pic:blipFill>
                  <a:blip r:embed="rId1">
                    <a:alphaModFix/>
                  </a:blip>
                  <a:srcRect/>
                  <a:stretch/>
                </pic:blipFill>
                <pic:spPr>
                  <a:xfrm>
                    <a:off x="0" y="0"/>
                    <a:ext cx="1411272" cy="453224"/>
                  </a:xfrm>
                  <a:prstGeom prst="rect">
                    <a:avLst/>
                  </a:prstGeom>
                </pic:spPr>
              </pic:pic>
            </a:graphicData>
          </a:graphic>
          <wp14:sizeRelH relativeFrom="margin">
            <wp14:pctWidth>0</wp14:pctWidth>
          </wp14:sizeRelH>
          <wp14:sizeRelV relativeFrom="margin">
            <wp14:pctHeight>0</wp14:pctHeight>
          </wp14:sizeRelV>
        </wp:anchor>
      </w:drawing>
    </w:r>
    <w:sdt>
      <w:sdtPr>
        <w:id w:val="1817605745"/>
        <w:docPartObj>
          <w:docPartGallery w:val="Watermarks"/>
          <w:docPartUnique/>
        </w:docPartObj>
      </w:sdtPr>
      <w:sdtEndPr/>
      <w:sdtContent>
        <w:r w:rsidR="00A83561">
          <w:pict w14:anchorId="6A9816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margin-left:0;margin-top:0;width:527.85pt;height:131.95pt;rotation:315;z-index:-25165824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2E4B"/>
    <w:multiLevelType w:val="hybridMultilevel"/>
    <w:tmpl w:val="72CED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01596"/>
    <w:multiLevelType w:val="hybridMultilevel"/>
    <w:tmpl w:val="7DC8E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02B2B"/>
    <w:multiLevelType w:val="hybridMultilevel"/>
    <w:tmpl w:val="84F87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334C5"/>
    <w:multiLevelType w:val="hybridMultilevel"/>
    <w:tmpl w:val="4486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5719BA"/>
    <w:multiLevelType w:val="hybridMultilevel"/>
    <w:tmpl w:val="19E00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662E69"/>
    <w:multiLevelType w:val="hybridMultilevel"/>
    <w:tmpl w:val="6F2C5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170C75"/>
    <w:multiLevelType w:val="hybridMultilevel"/>
    <w:tmpl w:val="2A345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94701"/>
    <w:multiLevelType w:val="hybridMultilevel"/>
    <w:tmpl w:val="830C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91472B"/>
    <w:multiLevelType w:val="hybridMultilevel"/>
    <w:tmpl w:val="54C0B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E57324"/>
    <w:multiLevelType w:val="hybridMultilevel"/>
    <w:tmpl w:val="2F4852BE"/>
    <w:lvl w:ilvl="0" w:tplc="CEB0DB8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4A725F"/>
    <w:multiLevelType w:val="hybridMultilevel"/>
    <w:tmpl w:val="D8609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D95C32"/>
    <w:multiLevelType w:val="hybridMultilevel"/>
    <w:tmpl w:val="85C0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0064A7"/>
    <w:multiLevelType w:val="hybridMultilevel"/>
    <w:tmpl w:val="6194C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C86A21"/>
    <w:multiLevelType w:val="hybridMultilevel"/>
    <w:tmpl w:val="A1A82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1272DA"/>
    <w:multiLevelType w:val="hybridMultilevel"/>
    <w:tmpl w:val="E2D6B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E04C70"/>
    <w:multiLevelType w:val="hybridMultilevel"/>
    <w:tmpl w:val="A398850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A74038A"/>
    <w:multiLevelType w:val="hybridMultilevel"/>
    <w:tmpl w:val="FA5A12AC"/>
    <w:lvl w:ilvl="0" w:tplc="F084BC2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EC10FA"/>
    <w:multiLevelType w:val="hybridMultilevel"/>
    <w:tmpl w:val="083C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426FBB"/>
    <w:multiLevelType w:val="hybridMultilevel"/>
    <w:tmpl w:val="4876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6B5563"/>
    <w:multiLevelType w:val="hybridMultilevel"/>
    <w:tmpl w:val="2102C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AF1966"/>
    <w:multiLevelType w:val="hybridMultilevel"/>
    <w:tmpl w:val="46B04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92170C"/>
    <w:multiLevelType w:val="hybridMultilevel"/>
    <w:tmpl w:val="9C8AE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3D2BFD"/>
    <w:multiLevelType w:val="hybridMultilevel"/>
    <w:tmpl w:val="73AE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FF03AE"/>
    <w:multiLevelType w:val="hybridMultilevel"/>
    <w:tmpl w:val="B05C4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21A3"/>
    <w:multiLevelType w:val="hybridMultilevel"/>
    <w:tmpl w:val="62E6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031C55"/>
    <w:multiLevelType w:val="hybridMultilevel"/>
    <w:tmpl w:val="5A84F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5E3325"/>
    <w:multiLevelType w:val="hybridMultilevel"/>
    <w:tmpl w:val="9BDA7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B60370"/>
    <w:multiLevelType w:val="hybridMultilevel"/>
    <w:tmpl w:val="34EE1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03241D"/>
    <w:multiLevelType w:val="hybridMultilevel"/>
    <w:tmpl w:val="660C3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52098B"/>
    <w:multiLevelType w:val="hybridMultilevel"/>
    <w:tmpl w:val="B8D8C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4A132B"/>
    <w:multiLevelType w:val="multilevel"/>
    <w:tmpl w:val="1186812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0100C2"/>
    <w:multiLevelType w:val="hybridMultilevel"/>
    <w:tmpl w:val="FEB610F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F84633D"/>
    <w:multiLevelType w:val="hybridMultilevel"/>
    <w:tmpl w:val="F2C4D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EE1FFA"/>
    <w:multiLevelType w:val="hybridMultilevel"/>
    <w:tmpl w:val="040C86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4D4AFA"/>
    <w:multiLevelType w:val="hybridMultilevel"/>
    <w:tmpl w:val="58589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4B7642"/>
    <w:multiLevelType w:val="hybridMultilevel"/>
    <w:tmpl w:val="0BD43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716A9E"/>
    <w:multiLevelType w:val="hybridMultilevel"/>
    <w:tmpl w:val="673AA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556F7E"/>
    <w:multiLevelType w:val="hybridMultilevel"/>
    <w:tmpl w:val="FCC23116"/>
    <w:lvl w:ilvl="0" w:tplc="A502A738">
      <w:start w:val="1"/>
      <w:numFmt w:val="bullet"/>
      <w:lvlText w:val="•"/>
      <w:lvlJc w:val="left"/>
      <w:pPr>
        <w:tabs>
          <w:tab w:val="num" w:pos="720"/>
        </w:tabs>
        <w:ind w:left="720" w:hanging="360"/>
      </w:pPr>
      <w:rPr>
        <w:rFonts w:ascii="Arial" w:hAnsi="Arial" w:hint="default"/>
      </w:rPr>
    </w:lvl>
    <w:lvl w:ilvl="1" w:tplc="7A1643D2" w:tentative="1">
      <w:start w:val="1"/>
      <w:numFmt w:val="bullet"/>
      <w:lvlText w:val="•"/>
      <w:lvlJc w:val="left"/>
      <w:pPr>
        <w:tabs>
          <w:tab w:val="num" w:pos="1440"/>
        </w:tabs>
        <w:ind w:left="1440" w:hanging="360"/>
      </w:pPr>
      <w:rPr>
        <w:rFonts w:ascii="Arial" w:hAnsi="Arial" w:hint="default"/>
      </w:rPr>
    </w:lvl>
    <w:lvl w:ilvl="2" w:tplc="593E06EA" w:tentative="1">
      <w:start w:val="1"/>
      <w:numFmt w:val="bullet"/>
      <w:lvlText w:val="•"/>
      <w:lvlJc w:val="left"/>
      <w:pPr>
        <w:tabs>
          <w:tab w:val="num" w:pos="2160"/>
        </w:tabs>
        <w:ind w:left="2160" w:hanging="360"/>
      </w:pPr>
      <w:rPr>
        <w:rFonts w:ascii="Arial" w:hAnsi="Arial" w:hint="default"/>
      </w:rPr>
    </w:lvl>
    <w:lvl w:ilvl="3" w:tplc="B9DEF3C2" w:tentative="1">
      <w:start w:val="1"/>
      <w:numFmt w:val="bullet"/>
      <w:lvlText w:val="•"/>
      <w:lvlJc w:val="left"/>
      <w:pPr>
        <w:tabs>
          <w:tab w:val="num" w:pos="2880"/>
        </w:tabs>
        <w:ind w:left="2880" w:hanging="360"/>
      </w:pPr>
      <w:rPr>
        <w:rFonts w:ascii="Arial" w:hAnsi="Arial" w:hint="default"/>
      </w:rPr>
    </w:lvl>
    <w:lvl w:ilvl="4" w:tplc="1D5CAF94" w:tentative="1">
      <w:start w:val="1"/>
      <w:numFmt w:val="bullet"/>
      <w:lvlText w:val="•"/>
      <w:lvlJc w:val="left"/>
      <w:pPr>
        <w:tabs>
          <w:tab w:val="num" w:pos="3600"/>
        </w:tabs>
        <w:ind w:left="3600" w:hanging="360"/>
      </w:pPr>
      <w:rPr>
        <w:rFonts w:ascii="Arial" w:hAnsi="Arial" w:hint="default"/>
      </w:rPr>
    </w:lvl>
    <w:lvl w:ilvl="5" w:tplc="60168816" w:tentative="1">
      <w:start w:val="1"/>
      <w:numFmt w:val="bullet"/>
      <w:lvlText w:val="•"/>
      <w:lvlJc w:val="left"/>
      <w:pPr>
        <w:tabs>
          <w:tab w:val="num" w:pos="4320"/>
        </w:tabs>
        <w:ind w:left="4320" w:hanging="360"/>
      </w:pPr>
      <w:rPr>
        <w:rFonts w:ascii="Arial" w:hAnsi="Arial" w:hint="default"/>
      </w:rPr>
    </w:lvl>
    <w:lvl w:ilvl="6" w:tplc="447C9740" w:tentative="1">
      <w:start w:val="1"/>
      <w:numFmt w:val="bullet"/>
      <w:lvlText w:val="•"/>
      <w:lvlJc w:val="left"/>
      <w:pPr>
        <w:tabs>
          <w:tab w:val="num" w:pos="5040"/>
        </w:tabs>
        <w:ind w:left="5040" w:hanging="360"/>
      </w:pPr>
      <w:rPr>
        <w:rFonts w:ascii="Arial" w:hAnsi="Arial" w:hint="default"/>
      </w:rPr>
    </w:lvl>
    <w:lvl w:ilvl="7" w:tplc="02DC2BA0" w:tentative="1">
      <w:start w:val="1"/>
      <w:numFmt w:val="bullet"/>
      <w:lvlText w:val="•"/>
      <w:lvlJc w:val="left"/>
      <w:pPr>
        <w:tabs>
          <w:tab w:val="num" w:pos="5760"/>
        </w:tabs>
        <w:ind w:left="5760" w:hanging="360"/>
      </w:pPr>
      <w:rPr>
        <w:rFonts w:ascii="Arial" w:hAnsi="Arial" w:hint="default"/>
      </w:rPr>
    </w:lvl>
    <w:lvl w:ilvl="8" w:tplc="20A6DC4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03128DB"/>
    <w:multiLevelType w:val="hybridMultilevel"/>
    <w:tmpl w:val="08748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0561CA"/>
    <w:multiLevelType w:val="hybridMultilevel"/>
    <w:tmpl w:val="80FCDFB8"/>
    <w:lvl w:ilvl="0" w:tplc="6604211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2013BEE"/>
    <w:multiLevelType w:val="hybridMultilevel"/>
    <w:tmpl w:val="A724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8B6B94"/>
    <w:multiLevelType w:val="hybridMultilevel"/>
    <w:tmpl w:val="A06E4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E94D1B"/>
    <w:multiLevelType w:val="hybridMultilevel"/>
    <w:tmpl w:val="85A21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D049DD"/>
    <w:multiLevelType w:val="hybridMultilevel"/>
    <w:tmpl w:val="DD5A7952"/>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BE822B2"/>
    <w:multiLevelType w:val="hybridMultilevel"/>
    <w:tmpl w:val="2D3A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761F9F"/>
    <w:multiLevelType w:val="multilevel"/>
    <w:tmpl w:val="79DA4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5270D5"/>
    <w:multiLevelType w:val="hybridMultilevel"/>
    <w:tmpl w:val="EB106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521DE9"/>
    <w:multiLevelType w:val="hybridMultilevel"/>
    <w:tmpl w:val="4ABA5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FB0E47"/>
    <w:multiLevelType w:val="hybridMultilevel"/>
    <w:tmpl w:val="F814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24623A"/>
    <w:multiLevelType w:val="hybridMultilevel"/>
    <w:tmpl w:val="157A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2A16ED"/>
    <w:multiLevelType w:val="hybridMultilevel"/>
    <w:tmpl w:val="FEDAAD76"/>
    <w:lvl w:ilvl="0" w:tplc="D0F267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F834DC8"/>
    <w:multiLevelType w:val="hybridMultilevel"/>
    <w:tmpl w:val="8AB0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BA778C"/>
    <w:multiLevelType w:val="hybridMultilevel"/>
    <w:tmpl w:val="FEEC2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25768E"/>
    <w:multiLevelType w:val="hybridMultilevel"/>
    <w:tmpl w:val="ED5A4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115337"/>
    <w:multiLevelType w:val="hybridMultilevel"/>
    <w:tmpl w:val="7A4A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2239B3"/>
    <w:multiLevelType w:val="hybridMultilevel"/>
    <w:tmpl w:val="6B2040E0"/>
    <w:lvl w:ilvl="0" w:tplc="57443142">
      <w:start w:val="1"/>
      <w:numFmt w:val="bullet"/>
      <w:lvlText w:val="•"/>
      <w:lvlJc w:val="left"/>
      <w:pPr>
        <w:tabs>
          <w:tab w:val="num" w:pos="720"/>
        </w:tabs>
        <w:ind w:left="720" w:hanging="360"/>
      </w:pPr>
      <w:rPr>
        <w:rFonts w:ascii="Arial" w:hAnsi="Arial" w:hint="default"/>
      </w:rPr>
    </w:lvl>
    <w:lvl w:ilvl="1" w:tplc="1D2CA994">
      <w:start w:val="1"/>
      <w:numFmt w:val="bullet"/>
      <w:lvlText w:val="•"/>
      <w:lvlJc w:val="left"/>
      <w:pPr>
        <w:tabs>
          <w:tab w:val="num" w:pos="1440"/>
        </w:tabs>
        <w:ind w:left="1440" w:hanging="360"/>
      </w:pPr>
      <w:rPr>
        <w:rFonts w:ascii="Arial" w:hAnsi="Arial" w:hint="default"/>
      </w:rPr>
    </w:lvl>
    <w:lvl w:ilvl="2" w:tplc="394C6F3E" w:tentative="1">
      <w:start w:val="1"/>
      <w:numFmt w:val="bullet"/>
      <w:lvlText w:val="•"/>
      <w:lvlJc w:val="left"/>
      <w:pPr>
        <w:tabs>
          <w:tab w:val="num" w:pos="2160"/>
        </w:tabs>
        <w:ind w:left="2160" w:hanging="360"/>
      </w:pPr>
      <w:rPr>
        <w:rFonts w:ascii="Arial" w:hAnsi="Arial" w:hint="default"/>
      </w:rPr>
    </w:lvl>
    <w:lvl w:ilvl="3" w:tplc="39D6549C" w:tentative="1">
      <w:start w:val="1"/>
      <w:numFmt w:val="bullet"/>
      <w:lvlText w:val="•"/>
      <w:lvlJc w:val="left"/>
      <w:pPr>
        <w:tabs>
          <w:tab w:val="num" w:pos="2880"/>
        </w:tabs>
        <w:ind w:left="2880" w:hanging="360"/>
      </w:pPr>
      <w:rPr>
        <w:rFonts w:ascii="Arial" w:hAnsi="Arial" w:hint="default"/>
      </w:rPr>
    </w:lvl>
    <w:lvl w:ilvl="4" w:tplc="3CAAAD44" w:tentative="1">
      <w:start w:val="1"/>
      <w:numFmt w:val="bullet"/>
      <w:lvlText w:val="•"/>
      <w:lvlJc w:val="left"/>
      <w:pPr>
        <w:tabs>
          <w:tab w:val="num" w:pos="3600"/>
        </w:tabs>
        <w:ind w:left="3600" w:hanging="360"/>
      </w:pPr>
      <w:rPr>
        <w:rFonts w:ascii="Arial" w:hAnsi="Arial" w:hint="default"/>
      </w:rPr>
    </w:lvl>
    <w:lvl w:ilvl="5" w:tplc="8398F5A0" w:tentative="1">
      <w:start w:val="1"/>
      <w:numFmt w:val="bullet"/>
      <w:lvlText w:val="•"/>
      <w:lvlJc w:val="left"/>
      <w:pPr>
        <w:tabs>
          <w:tab w:val="num" w:pos="4320"/>
        </w:tabs>
        <w:ind w:left="4320" w:hanging="360"/>
      </w:pPr>
      <w:rPr>
        <w:rFonts w:ascii="Arial" w:hAnsi="Arial" w:hint="default"/>
      </w:rPr>
    </w:lvl>
    <w:lvl w:ilvl="6" w:tplc="A16C2AA0" w:tentative="1">
      <w:start w:val="1"/>
      <w:numFmt w:val="bullet"/>
      <w:lvlText w:val="•"/>
      <w:lvlJc w:val="left"/>
      <w:pPr>
        <w:tabs>
          <w:tab w:val="num" w:pos="5040"/>
        </w:tabs>
        <w:ind w:left="5040" w:hanging="360"/>
      </w:pPr>
      <w:rPr>
        <w:rFonts w:ascii="Arial" w:hAnsi="Arial" w:hint="default"/>
      </w:rPr>
    </w:lvl>
    <w:lvl w:ilvl="7" w:tplc="82F6B528" w:tentative="1">
      <w:start w:val="1"/>
      <w:numFmt w:val="bullet"/>
      <w:lvlText w:val="•"/>
      <w:lvlJc w:val="left"/>
      <w:pPr>
        <w:tabs>
          <w:tab w:val="num" w:pos="5760"/>
        </w:tabs>
        <w:ind w:left="5760" w:hanging="360"/>
      </w:pPr>
      <w:rPr>
        <w:rFonts w:ascii="Arial" w:hAnsi="Arial" w:hint="default"/>
      </w:rPr>
    </w:lvl>
    <w:lvl w:ilvl="8" w:tplc="6E540E6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34165EC"/>
    <w:multiLevelType w:val="hybridMultilevel"/>
    <w:tmpl w:val="D9A2964A"/>
    <w:lvl w:ilvl="0" w:tplc="F2AA106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0129D8"/>
    <w:multiLevelType w:val="hybridMultilevel"/>
    <w:tmpl w:val="01C42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D32F48"/>
    <w:multiLevelType w:val="hybridMultilevel"/>
    <w:tmpl w:val="51EAE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16680E"/>
    <w:multiLevelType w:val="hybridMultilevel"/>
    <w:tmpl w:val="4052F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DF45F91"/>
    <w:multiLevelType w:val="hybridMultilevel"/>
    <w:tmpl w:val="FECA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1E7BE9"/>
    <w:multiLevelType w:val="hybridMultilevel"/>
    <w:tmpl w:val="CACED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2467372">
    <w:abstractNumId w:val="9"/>
  </w:num>
  <w:num w:numId="2" w16cid:durableId="565339038">
    <w:abstractNumId w:val="30"/>
  </w:num>
  <w:num w:numId="3" w16cid:durableId="1615945766">
    <w:abstractNumId w:val="45"/>
  </w:num>
  <w:num w:numId="4" w16cid:durableId="1060985421">
    <w:abstractNumId w:val="31"/>
  </w:num>
  <w:num w:numId="5" w16cid:durableId="380255038">
    <w:abstractNumId w:val="8"/>
  </w:num>
  <w:num w:numId="6" w16cid:durableId="846864395">
    <w:abstractNumId w:val="3"/>
  </w:num>
  <w:num w:numId="7" w16cid:durableId="1860317889">
    <w:abstractNumId w:val="44"/>
  </w:num>
  <w:num w:numId="8" w16cid:durableId="1225604873">
    <w:abstractNumId w:val="57"/>
  </w:num>
  <w:num w:numId="9" w16cid:durableId="1946229291">
    <w:abstractNumId w:val="24"/>
  </w:num>
  <w:num w:numId="10" w16cid:durableId="522288886">
    <w:abstractNumId w:val="10"/>
  </w:num>
  <w:num w:numId="11" w16cid:durableId="771363667">
    <w:abstractNumId w:val="59"/>
  </w:num>
  <w:num w:numId="12" w16cid:durableId="178934705">
    <w:abstractNumId w:val="49"/>
  </w:num>
  <w:num w:numId="13" w16cid:durableId="1373260990">
    <w:abstractNumId w:val="40"/>
  </w:num>
  <w:num w:numId="14" w16cid:durableId="1726836082">
    <w:abstractNumId w:val="1"/>
  </w:num>
  <w:num w:numId="15" w16cid:durableId="1771974744">
    <w:abstractNumId w:val="46"/>
  </w:num>
  <w:num w:numId="16" w16cid:durableId="168714409">
    <w:abstractNumId w:val="7"/>
  </w:num>
  <w:num w:numId="17" w16cid:durableId="133254457">
    <w:abstractNumId w:val="42"/>
  </w:num>
  <w:num w:numId="18" w16cid:durableId="1398162698">
    <w:abstractNumId w:val="34"/>
  </w:num>
  <w:num w:numId="19" w16cid:durableId="527841864">
    <w:abstractNumId w:val="26"/>
  </w:num>
  <w:num w:numId="20" w16cid:durableId="1624919249">
    <w:abstractNumId w:val="19"/>
  </w:num>
  <w:num w:numId="21" w16cid:durableId="1990210890">
    <w:abstractNumId w:val="20"/>
  </w:num>
  <w:num w:numId="22" w16cid:durableId="528761683">
    <w:abstractNumId w:val="0"/>
  </w:num>
  <w:num w:numId="23" w16cid:durableId="1756902467">
    <w:abstractNumId w:val="25"/>
  </w:num>
  <w:num w:numId="24" w16cid:durableId="1745955489">
    <w:abstractNumId w:val="21"/>
  </w:num>
  <w:num w:numId="25" w16cid:durableId="1546406269">
    <w:abstractNumId w:val="61"/>
  </w:num>
  <w:num w:numId="26" w16cid:durableId="1356350059">
    <w:abstractNumId w:val="33"/>
  </w:num>
  <w:num w:numId="27" w16cid:durableId="863783130">
    <w:abstractNumId w:val="13"/>
  </w:num>
  <w:num w:numId="28" w16cid:durableId="467209375">
    <w:abstractNumId w:val="47"/>
  </w:num>
  <w:num w:numId="29" w16cid:durableId="85805935">
    <w:abstractNumId w:val="22"/>
  </w:num>
  <w:num w:numId="30" w16cid:durableId="1257905716">
    <w:abstractNumId w:val="58"/>
  </w:num>
  <w:num w:numId="31" w16cid:durableId="1458336665">
    <w:abstractNumId w:val="14"/>
  </w:num>
  <w:num w:numId="32" w16cid:durableId="1351301190">
    <w:abstractNumId w:val="12"/>
  </w:num>
  <w:num w:numId="33" w16cid:durableId="421032581">
    <w:abstractNumId w:val="23"/>
  </w:num>
  <w:num w:numId="34" w16cid:durableId="936864324">
    <w:abstractNumId w:val="6"/>
  </w:num>
  <w:num w:numId="35" w16cid:durableId="2020888447">
    <w:abstractNumId w:val="5"/>
  </w:num>
  <w:num w:numId="36" w16cid:durableId="639115188">
    <w:abstractNumId w:val="52"/>
  </w:num>
  <w:num w:numId="37" w16cid:durableId="2139369554">
    <w:abstractNumId w:val="2"/>
  </w:num>
  <w:num w:numId="38" w16cid:durableId="290206899">
    <w:abstractNumId w:val="54"/>
  </w:num>
  <w:num w:numId="39" w16cid:durableId="1016537180">
    <w:abstractNumId w:val="29"/>
  </w:num>
  <w:num w:numId="40" w16cid:durableId="2065831255">
    <w:abstractNumId w:val="41"/>
  </w:num>
  <w:num w:numId="41" w16cid:durableId="1463376629">
    <w:abstractNumId w:val="27"/>
  </w:num>
  <w:num w:numId="42" w16cid:durableId="717626003">
    <w:abstractNumId w:val="28"/>
  </w:num>
  <w:num w:numId="43" w16cid:durableId="1938521325">
    <w:abstractNumId w:val="48"/>
  </w:num>
  <w:num w:numId="44" w16cid:durableId="1280141689">
    <w:abstractNumId w:val="17"/>
  </w:num>
  <w:num w:numId="45" w16cid:durableId="534193908">
    <w:abstractNumId w:val="11"/>
  </w:num>
  <w:num w:numId="46" w16cid:durableId="202402829">
    <w:abstractNumId w:val="51"/>
  </w:num>
  <w:num w:numId="47" w16cid:durableId="1028719257">
    <w:abstractNumId w:val="36"/>
  </w:num>
  <w:num w:numId="48" w16cid:durableId="620914542">
    <w:abstractNumId w:val="32"/>
  </w:num>
  <w:num w:numId="49" w16cid:durableId="2061853739">
    <w:abstractNumId w:val="18"/>
  </w:num>
  <w:num w:numId="50" w16cid:durableId="839854504">
    <w:abstractNumId w:val="38"/>
  </w:num>
  <w:num w:numId="51" w16cid:durableId="965432515">
    <w:abstractNumId w:val="50"/>
  </w:num>
  <w:num w:numId="52" w16cid:durableId="1085956108">
    <w:abstractNumId w:val="4"/>
  </w:num>
  <w:num w:numId="53" w16cid:durableId="160590052">
    <w:abstractNumId w:val="39"/>
  </w:num>
  <w:num w:numId="54" w16cid:durableId="134152554">
    <w:abstractNumId w:val="56"/>
  </w:num>
  <w:num w:numId="55" w16cid:durableId="758409271">
    <w:abstractNumId w:val="15"/>
  </w:num>
  <w:num w:numId="56" w16cid:durableId="1810711195">
    <w:abstractNumId w:val="43"/>
  </w:num>
  <w:num w:numId="57" w16cid:durableId="1979264988">
    <w:abstractNumId w:val="55"/>
  </w:num>
  <w:num w:numId="58" w16cid:durableId="386295937">
    <w:abstractNumId w:val="37"/>
  </w:num>
  <w:num w:numId="59" w16cid:durableId="1888449787">
    <w:abstractNumId w:val="16"/>
  </w:num>
  <w:num w:numId="60" w16cid:durableId="923034526">
    <w:abstractNumId w:val="53"/>
  </w:num>
  <w:num w:numId="61" w16cid:durableId="1787698786">
    <w:abstractNumId w:val="35"/>
  </w:num>
  <w:num w:numId="62" w16cid:durableId="1798646255">
    <w:abstractNumId w:val="6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9CD"/>
    <w:rsid w:val="00017DA7"/>
    <w:rsid w:val="0002144D"/>
    <w:rsid w:val="00021FDF"/>
    <w:rsid w:val="0004263E"/>
    <w:rsid w:val="00047F08"/>
    <w:rsid w:val="00053BDF"/>
    <w:rsid w:val="00060D2C"/>
    <w:rsid w:val="00084D03"/>
    <w:rsid w:val="00085AE6"/>
    <w:rsid w:val="00092437"/>
    <w:rsid w:val="00097DDA"/>
    <w:rsid w:val="000C31F8"/>
    <w:rsid w:val="000C43D5"/>
    <w:rsid w:val="000D7D15"/>
    <w:rsid w:val="000E6A7A"/>
    <w:rsid w:val="00131B09"/>
    <w:rsid w:val="0016440A"/>
    <w:rsid w:val="00166027"/>
    <w:rsid w:val="00184F7F"/>
    <w:rsid w:val="001D1680"/>
    <w:rsid w:val="001D40FB"/>
    <w:rsid w:val="001E12E6"/>
    <w:rsid w:val="00204EFA"/>
    <w:rsid w:val="0020747D"/>
    <w:rsid w:val="00210EE7"/>
    <w:rsid w:val="00225E96"/>
    <w:rsid w:val="00245A45"/>
    <w:rsid w:val="00277253"/>
    <w:rsid w:val="002E3319"/>
    <w:rsid w:val="002E5856"/>
    <w:rsid w:val="002F13BA"/>
    <w:rsid w:val="002F46A0"/>
    <w:rsid w:val="0031309E"/>
    <w:rsid w:val="00334F7B"/>
    <w:rsid w:val="00362707"/>
    <w:rsid w:val="00362746"/>
    <w:rsid w:val="00364733"/>
    <w:rsid w:val="003841C3"/>
    <w:rsid w:val="00387EAA"/>
    <w:rsid w:val="0039506A"/>
    <w:rsid w:val="003A134A"/>
    <w:rsid w:val="003A2BF3"/>
    <w:rsid w:val="003A352F"/>
    <w:rsid w:val="003A77BE"/>
    <w:rsid w:val="003C288F"/>
    <w:rsid w:val="003F74D2"/>
    <w:rsid w:val="00403C16"/>
    <w:rsid w:val="004208F9"/>
    <w:rsid w:val="00422699"/>
    <w:rsid w:val="00423BFB"/>
    <w:rsid w:val="00460397"/>
    <w:rsid w:val="00493D68"/>
    <w:rsid w:val="004B7A07"/>
    <w:rsid w:val="004E1FAA"/>
    <w:rsid w:val="004F21CE"/>
    <w:rsid w:val="005007DA"/>
    <w:rsid w:val="0051663D"/>
    <w:rsid w:val="00545C13"/>
    <w:rsid w:val="00585C10"/>
    <w:rsid w:val="00587AE3"/>
    <w:rsid w:val="00593DAC"/>
    <w:rsid w:val="00595090"/>
    <w:rsid w:val="005E1F66"/>
    <w:rsid w:val="005F7CF4"/>
    <w:rsid w:val="00603573"/>
    <w:rsid w:val="00624278"/>
    <w:rsid w:val="00632E6B"/>
    <w:rsid w:val="00633A10"/>
    <w:rsid w:val="00674F63"/>
    <w:rsid w:val="006830AE"/>
    <w:rsid w:val="00686B7A"/>
    <w:rsid w:val="006974C1"/>
    <w:rsid w:val="006B2F14"/>
    <w:rsid w:val="006C2755"/>
    <w:rsid w:val="006C7A0E"/>
    <w:rsid w:val="006D6A6F"/>
    <w:rsid w:val="00701E07"/>
    <w:rsid w:val="00705FF7"/>
    <w:rsid w:val="00711403"/>
    <w:rsid w:val="00722CBF"/>
    <w:rsid w:val="007502A6"/>
    <w:rsid w:val="00762A8B"/>
    <w:rsid w:val="007735B7"/>
    <w:rsid w:val="0078419F"/>
    <w:rsid w:val="0079767F"/>
    <w:rsid w:val="007E3C51"/>
    <w:rsid w:val="007E7A56"/>
    <w:rsid w:val="00801665"/>
    <w:rsid w:val="00822398"/>
    <w:rsid w:val="00845B46"/>
    <w:rsid w:val="00870D8F"/>
    <w:rsid w:val="00872674"/>
    <w:rsid w:val="00872F90"/>
    <w:rsid w:val="0089682A"/>
    <w:rsid w:val="008B6919"/>
    <w:rsid w:val="008D23CC"/>
    <w:rsid w:val="008D5EDC"/>
    <w:rsid w:val="008F1C93"/>
    <w:rsid w:val="009137CD"/>
    <w:rsid w:val="0091600E"/>
    <w:rsid w:val="00916AA8"/>
    <w:rsid w:val="009439CD"/>
    <w:rsid w:val="00943B8A"/>
    <w:rsid w:val="0096723B"/>
    <w:rsid w:val="0097136E"/>
    <w:rsid w:val="009745C7"/>
    <w:rsid w:val="00977A88"/>
    <w:rsid w:val="009A6C3A"/>
    <w:rsid w:val="009D082B"/>
    <w:rsid w:val="009D2851"/>
    <w:rsid w:val="009D4503"/>
    <w:rsid w:val="009E0179"/>
    <w:rsid w:val="009F5122"/>
    <w:rsid w:val="009F54DC"/>
    <w:rsid w:val="00A07528"/>
    <w:rsid w:val="00A37E5E"/>
    <w:rsid w:val="00A47422"/>
    <w:rsid w:val="00A47DFF"/>
    <w:rsid w:val="00A577DD"/>
    <w:rsid w:val="00A72158"/>
    <w:rsid w:val="00A764F3"/>
    <w:rsid w:val="00A83561"/>
    <w:rsid w:val="00A859C5"/>
    <w:rsid w:val="00A86767"/>
    <w:rsid w:val="00AA0300"/>
    <w:rsid w:val="00AB3522"/>
    <w:rsid w:val="00AB3821"/>
    <w:rsid w:val="00AC7015"/>
    <w:rsid w:val="00AD2583"/>
    <w:rsid w:val="00AE106C"/>
    <w:rsid w:val="00AE4070"/>
    <w:rsid w:val="00B15ABD"/>
    <w:rsid w:val="00B26003"/>
    <w:rsid w:val="00B27DF4"/>
    <w:rsid w:val="00B563E0"/>
    <w:rsid w:val="00B658C0"/>
    <w:rsid w:val="00B73FB9"/>
    <w:rsid w:val="00B97645"/>
    <w:rsid w:val="00BA685F"/>
    <w:rsid w:val="00BA71A7"/>
    <w:rsid w:val="00BC44B9"/>
    <w:rsid w:val="00BC4E57"/>
    <w:rsid w:val="00BD06B6"/>
    <w:rsid w:val="00BD1C55"/>
    <w:rsid w:val="00BD466D"/>
    <w:rsid w:val="00C02D39"/>
    <w:rsid w:val="00C32707"/>
    <w:rsid w:val="00C367FB"/>
    <w:rsid w:val="00C50E35"/>
    <w:rsid w:val="00C6287D"/>
    <w:rsid w:val="00C86F7A"/>
    <w:rsid w:val="00C96459"/>
    <w:rsid w:val="00CA6772"/>
    <w:rsid w:val="00CB240B"/>
    <w:rsid w:val="00CB6147"/>
    <w:rsid w:val="00CC53B7"/>
    <w:rsid w:val="00CC6645"/>
    <w:rsid w:val="00CC69E8"/>
    <w:rsid w:val="00CC6AE2"/>
    <w:rsid w:val="00CF4303"/>
    <w:rsid w:val="00CF4D80"/>
    <w:rsid w:val="00D00197"/>
    <w:rsid w:val="00D14EE6"/>
    <w:rsid w:val="00D25CAF"/>
    <w:rsid w:val="00D27143"/>
    <w:rsid w:val="00D274F7"/>
    <w:rsid w:val="00D275D7"/>
    <w:rsid w:val="00D4550A"/>
    <w:rsid w:val="00D55FCD"/>
    <w:rsid w:val="00D57C24"/>
    <w:rsid w:val="00D6386F"/>
    <w:rsid w:val="00D65B4E"/>
    <w:rsid w:val="00D73CFE"/>
    <w:rsid w:val="00DA188B"/>
    <w:rsid w:val="00DA312C"/>
    <w:rsid w:val="00DB664B"/>
    <w:rsid w:val="00DC0B09"/>
    <w:rsid w:val="00DC2971"/>
    <w:rsid w:val="00DF2C07"/>
    <w:rsid w:val="00E112AC"/>
    <w:rsid w:val="00E1629E"/>
    <w:rsid w:val="00E217BB"/>
    <w:rsid w:val="00E2388B"/>
    <w:rsid w:val="00E24F55"/>
    <w:rsid w:val="00E41575"/>
    <w:rsid w:val="00E46BB6"/>
    <w:rsid w:val="00E50F06"/>
    <w:rsid w:val="00E56BE1"/>
    <w:rsid w:val="00E603F9"/>
    <w:rsid w:val="00E620F6"/>
    <w:rsid w:val="00EB646E"/>
    <w:rsid w:val="00EC580C"/>
    <w:rsid w:val="00ED03DB"/>
    <w:rsid w:val="00ED47EF"/>
    <w:rsid w:val="00EF6907"/>
    <w:rsid w:val="00F03980"/>
    <w:rsid w:val="00F21C59"/>
    <w:rsid w:val="00F33338"/>
    <w:rsid w:val="00F51464"/>
    <w:rsid w:val="00F5722B"/>
    <w:rsid w:val="00F612E8"/>
    <w:rsid w:val="00F6479D"/>
    <w:rsid w:val="00F66388"/>
    <w:rsid w:val="00FA63C5"/>
    <w:rsid w:val="00FC55DF"/>
    <w:rsid w:val="00FD5CAE"/>
    <w:rsid w:val="00FD7CF5"/>
    <w:rsid w:val="00FE1796"/>
    <w:rsid w:val="00FF6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C9B1856"/>
  <w15:chartTrackingRefBased/>
  <w15:docId w15:val="{58200F31-1235-479D-AAC0-5232F4DFB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A10"/>
  </w:style>
  <w:style w:type="paragraph" w:styleId="Heading1">
    <w:name w:val="heading 1"/>
    <w:basedOn w:val="Normal"/>
    <w:next w:val="Normal"/>
    <w:link w:val="Heading1Char"/>
    <w:uiPriority w:val="9"/>
    <w:qFormat/>
    <w:rsid w:val="00633A10"/>
    <w:pPr>
      <w:pBdr>
        <w:top w:val="single" w:sz="24" w:space="0" w:color="F07F09" w:themeColor="accent1"/>
        <w:left w:val="single" w:sz="24" w:space="0" w:color="F07F09" w:themeColor="accent1"/>
        <w:bottom w:val="single" w:sz="24" w:space="0" w:color="F07F09" w:themeColor="accent1"/>
        <w:right w:val="single" w:sz="24" w:space="0" w:color="F07F09" w:themeColor="accent1"/>
      </w:pBdr>
      <w:shd w:val="clear" w:color="auto" w:fill="F07F09"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633A10"/>
    <w:pPr>
      <w:pBdr>
        <w:top w:val="single" w:sz="24" w:space="0" w:color="FDE5CC" w:themeColor="accent1" w:themeTint="33"/>
        <w:left w:val="single" w:sz="24" w:space="0" w:color="FDE5CC" w:themeColor="accent1" w:themeTint="33"/>
        <w:bottom w:val="single" w:sz="24" w:space="0" w:color="FDE5CC" w:themeColor="accent1" w:themeTint="33"/>
        <w:right w:val="single" w:sz="24" w:space="0" w:color="FDE5CC" w:themeColor="accent1" w:themeTint="33"/>
      </w:pBdr>
      <w:shd w:val="clear" w:color="auto" w:fill="FDE5CC"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633A10"/>
    <w:pPr>
      <w:pBdr>
        <w:top w:val="single" w:sz="6" w:space="2" w:color="F07F09" w:themeColor="accent1"/>
      </w:pBdr>
      <w:spacing w:before="300" w:after="0"/>
      <w:outlineLvl w:val="2"/>
    </w:pPr>
    <w:rPr>
      <w:caps/>
      <w:color w:val="773F04" w:themeColor="accent1" w:themeShade="7F"/>
      <w:spacing w:val="15"/>
    </w:rPr>
  </w:style>
  <w:style w:type="paragraph" w:styleId="Heading4">
    <w:name w:val="heading 4"/>
    <w:basedOn w:val="Normal"/>
    <w:next w:val="Normal"/>
    <w:link w:val="Heading4Char"/>
    <w:uiPriority w:val="9"/>
    <w:unhideWhenUsed/>
    <w:qFormat/>
    <w:rsid w:val="00633A10"/>
    <w:pPr>
      <w:pBdr>
        <w:top w:val="dotted" w:sz="6" w:space="2" w:color="F07F09" w:themeColor="accent1"/>
      </w:pBdr>
      <w:spacing w:before="200" w:after="0"/>
      <w:outlineLvl w:val="3"/>
    </w:pPr>
    <w:rPr>
      <w:caps/>
      <w:color w:val="B35E06" w:themeColor="accent1" w:themeShade="BF"/>
      <w:spacing w:val="10"/>
    </w:rPr>
  </w:style>
  <w:style w:type="paragraph" w:styleId="Heading5">
    <w:name w:val="heading 5"/>
    <w:basedOn w:val="Normal"/>
    <w:next w:val="Normal"/>
    <w:link w:val="Heading5Char"/>
    <w:uiPriority w:val="9"/>
    <w:semiHidden/>
    <w:unhideWhenUsed/>
    <w:qFormat/>
    <w:rsid w:val="00633A10"/>
    <w:pPr>
      <w:pBdr>
        <w:bottom w:val="single" w:sz="6" w:space="1" w:color="F07F09" w:themeColor="accent1"/>
      </w:pBdr>
      <w:spacing w:before="200" w:after="0"/>
      <w:outlineLvl w:val="4"/>
    </w:pPr>
    <w:rPr>
      <w:caps/>
      <w:color w:val="B35E06" w:themeColor="accent1" w:themeShade="BF"/>
      <w:spacing w:val="10"/>
    </w:rPr>
  </w:style>
  <w:style w:type="paragraph" w:styleId="Heading6">
    <w:name w:val="heading 6"/>
    <w:basedOn w:val="Normal"/>
    <w:next w:val="Normal"/>
    <w:link w:val="Heading6Char"/>
    <w:uiPriority w:val="9"/>
    <w:semiHidden/>
    <w:unhideWhenUsed/>
    <w:qFormat/>
    <w:rsid w:val="00633A10"/>
    <w:pPr>
      <w:pBdr>
        <w:bottom w:val="dotted" w:sz="6" w:space="1" w:color="F07F09" w:themeColor="accent1"/>
      </w:pBdr>
      <w:spacing w:before="200" w:after="0"/>
      <w:outlineLvl w:val="5"/>
    </w:pPr>
    <w:rPr>
      <w:caps/>
      <w:color w:val="B35E06" w:themeColor="accent1" w:themeShade="BF"/>
      <w:spacing w:val="10"/>
    </w:rPr>
  </w:style>
  <w:style w:type="paragraph" w:styleId="Heading7">
    <w:name w:val="heading 7"/>
    <w:basedOn w:val="Normal"/>
    <w:next w:val="Normal"/>
    <w:link w:val="Heading7Char"/>
    <w:uiPriority w:val="9"/>
    <w:semiHidden/>
    <w:unhideWhenUsed/>
    <w:qFormat/>
    <w:rsid w:val="00633A10"/>
    <w:pPr>
      <w:spacing w:before="200" w:after="0"/>
      <w:outlineLvl w:val="6"/>
    </w:pPr>
    <w:rPr>
      <w:caps/>
      <w:color w:val="B35E06" w:themeColor="accent1" w:themeShade="BF"/>
      <w:spacing w:val="10"/>
    </w:rPr>
  </w:style>
  <w:style w:type="paragraph" w:styleId="Heading8">
    <w:name w:val="heading 8"/>
    <w:basedOn w:val="Normal"/>
    <w:next w:val="Normal"/>
    <w:link w:val="Heading8Char"/>
    <w:uiPriority w:val="9"/>
    <w:semiHidden/>
    <w:unhideWhenUsed/>
    <w:qFormat/>
    <w:rsid w:val="00633A1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33A10"/>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A10"/>
    <w:rPr>
      <w:caps/>
      <w:color w:val="FFFFFF" w:themeColor="background1"/>
      <w:spacing w:val="15"/>
      <w:sz w:val="22"/>
      <w:szCs w:val="22"/>
      <w:shd w:val="clear" w:color="auto" w:fill="F07F09" w:themeFill="accent1"/>
    </w:rPr>
  </w:style>
  <w:style w:type="character" w:customStyle="1" w:styleId="Heading2Char">
    <w:name w:val="Heading 2 Char"/>
    <w:basedOn w:val="DefaultParagraphFont"/>
    <w:link w:val="Heading2"/>
    <w:uiPriority w:val="9"/>
    <w:rsid w:val="00633A10"/>
    <w:rPr>
      <w:caps/>
      <w:spacing w:val="15"/>
      <w:shd w:val="clear" w:color="auto" w:fill="FDE5CC" w:themeFill="accent1" w:themeFillTint="33"/>
    </w:rPr>
  </w:style>
  <w:style w:type="character" w:customStyle="1" w:styleId="Heading3Char">
    <w:name w:val="Heading 3 Char"/>
    <w:basedOn w:val="DefaultParagraphFont"/>
    <w:link w:val="Heading3"/>
    <w:uiPriority w:val="9"/>
    <w:rsid w:val="00633A10"/>
    <w:rPr>
      <w:caps/>
      <w:color w:val="773F04" w:themeColor="accent1" w:themeShade="7F"/>
      <w:spacing w:val="15"/>
    </w:rPr>
  </w:style>
  <w:style w:type="character" w:customStyle="1" w:styleId="Heading4Char">
    <w:name w:val="Heading 4 Char"/>
    <w:basedOn w:val="DefaultParagraphFont"/>
    <w:link w:val="Heading4"/>
    <w:uiPriority w:val="9"/>
    <w:rsid w:val="00633A10"/>
    <w:rPr>
      <w:caps/>
      <w:color w:val="B35E06" w:themeColor="accent1" w:themeShade="BF"/>
      <w:spacing w:val="10"/>
    </w:rPr>
  </w:style>
  <w:style w:type="character" w:customStyle="1" w:styleId="Heading5Char">
    <w:name w:val="Heading 5 Char"/>
    <w:basedOn w:val="DefaultParagraphFont"/>
    <w:link w:val="Heading5"/>
    <w:uiPriority w:val="9"/>
    <w:semiHidden/>
    <w:rsid w:val="00633A10"/>
    <w:rPr>
      <w:caps/>
      <w:color w:val="B35E06" w:themeColor="accent1" w:themeShade="BF"/>
      <w:spacing w:val="10"/>
    </w:rPr>
  </w:style>
  <w:style w:type="character" w:customStyle="1" w:styleId="Heading6Char">
    <w:name w:val="Heading 6 Char"/>
    <w:basedOn w:val="DefaultParagraphFont"/>
    <w:link w:val="Heading6"/>
    <w:uiPriority w:val="9"/>
    <w:semiHidden/>
    <w:rsid w:val="00633A10"/>
    <w:rPr>
      <w:caps/>
      <w:color w:val="B35E06" w:themeColor="accent1" w:themeShade="BF"/>
      <w:spacing w:val="10"/>
    </w:rPr>
  </w:style>
  <w:style w:type="character" w:customStyle="1" w:styleId="Heading7Char">
    <w:name w:val="Heading 7 Char"/>
    <w:basedOn w:val="DefaultParagraphFont"/>
    <w:link w:val="Heading7"/>
    <w:uiPriority w:val="9"/>
    <w:semiHidden/>
    <w:rsid w:val="00633A10"/>
    <w:rPr>
      <w:caps/>
      <w:color w:val="B35E06" w:themeColor="accent1" w:themeShade="BF"/>
      <w:spacing w:val="10"/>
    </w:rPr>
  </w:style>
  <w:style w:type="character" w:customStyle="1" w:styleId="Heading8Char">
    <w:name w:val="Heading 8 Char"/>
    <w:basedOn w:val="DefaultParagraphFont"/>
    <w:link w:val="Heading8"/>
    <w:uiPriority w:val="9"/>
    <w:semiHidden/>
    <w:rsid w:val="00633A10"/>
    <w:rPr>
      <w:caps/>
      <w:spacing w:val="10"/>
      <w:sz w:val="18"/>
      <w:szCs w:val="18"/>
    </w:rPr>
  </w:style>
  <w:style w:type="character" w:customStyle="1" w:styleId="Heading9Char">
    <w:name w:val="Heading 9 Char"/>
    <w:basedOn w:val="DefaultParagraphFont"/>
    <w:link w:val="Heading9"/>
    <w:uiPriority w:val="9"/>
    <w:semiHidden/>
    <w:rsid w:val="00633A10"/>
    <w:rPr>
      <w:i/>
      <w:iCs/>
      <w:caps/>
      <w:spacing w:val="10"/>
      <w:sz w:val="18"/>
      <w:szCs w:val="18"/>
    </w:rPr>
  </w:style>
  <w:style w:type="paragraph" w:styleId="Title">
    <w:name w:val="Title"/>
    <w:basedOn w:val="Normal"/>
    <w:next w:val="Normal"/>
    <w:link w:val="TitleChar"/>
    <w:uiPriority w:val="10"/>
    <w:qFormat/>
    <w:rsid w:val="00633A10"/>
    <w:pPr>
      <w:spacing w:after="0"/>
    </w:pPr>
    <w:rPr>
      <w:rFonts w:asciiTheme="majorHAnsi" w:eastAsiaTheme="majorEastAsia" w:hAnsiTheme="majorHAnsi" w:cstheme="majorBidi"/>
      <w:caps/>
      <w:color w:val="F07F09" w:themeColor="accent1"/>
      <w:spacing w:val="10"/>
      <w:sz w:val="52"/>
      <w:szCs w:val="52"/>
    </w:rPr>
  </w:style>
  <w:style w:type="character" w:customStyle="1" w:styleId="TitleChar">
    <w:name w:val="Title Char"/>
    <w:basedOn w:val="DefaultParagraphFont"/>
    <w:link w:val="Title"/>
    <w:uiPriority w:val="10"/>
    <w:rsid w:val="00633A10"/>
    <w:rPr>
      <w:rFonts w:asciiTheme="majorHAnsi" w:eastAsiaTheme="majorEastAsia" w:hAnsiTheme="majorHAnsi" w:cstheme="majorBidi"/>
      <w:caps/>
      <w:color w:val="F07F09" w:themeColor="accent1"/>
      <w:spacing w:val="10"/>
      <w:sz w:val="52"/>
      <w:szCs w:val="52"/>
    </w:rPr>
  </w:style>
  <w:style w:type="paragraph" w:styleId="Subtitle">
    <w:name w:val="Subtitle"/>
    <w:basedOn w:val="Normal"/>
    <w:next w:val="Normal"/>
    <w:link w:val="SubtitleChar"/>
    <w:uiPriority w:val="11"/>
    <w:qFormat/>
    <w:rsid w:val="00633A10"/>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33A10"/>
    <w:rPr>
      <w:caps/>
      <w:color w:val="595959" w:themeColor="text1" w:themeTint="A6"/>
      <w:spacing w:val="10"/>
      <w:sz w:val="21"/>
      <w:szCs w:val="21"/>
    </w:rPr>
  </w:style>
  <w:style w:type="paragraph" w:styleId="Quote">
    <w:name w:val="Quote"/>
    <w:basedOn w:val="Normal"/>
    <w:next w:val="Normal"/>
    <w:link w:val="QuoteChar"/>
    <w:uiPriority w:val="29"/>
    <w:qFormat/>
    <w:rsid w:val="00633A10"/>
    <w:rPr>
      <w:i/>
      <w:iCs/>
      <w:sz w:val="24"/>
      <w:szCs w:val="24"/>
    </w:rPr>
  </w:style>
  <w:style w:type="character" w:customStyle="1" w:styleId="QuoteChar">
    <w:name w:val="Quote Char"/>
    <w:basedOn w:val="DefaultParagraphFont"/>
    <w:link w:val="Quote"/>
    <w:uiPriority w:val="29"/>
    <w:rsid w:val="00633A10"/>
    <w:rPr>
      <w:i/>
      <w:iCs/>
      <w:sz w:val="24"/>
      <w:szCs w:val="24"/>
    </w:rPr>
  </w:style>
  <w:style w:type="paragraph" w:styleId="ListParagraph">
    <w:name w:val="List Paragraph"/>
    <w:basedOn w:val="Normal"/>
    <w:uiPriority w:val="34"/>
    <w:qFormat/>
    <w:rsid w:val="009439CD"/>
    <w:pPr>
      <w:ind w:left="720"/>
      <w:contextualSpacing/>
    </w:pPr>
  </w:style>
  <w:style w:type="character" w:styleId="IntenseEmphasis">
    <w:name w:val="Intense Emphasis"/>
    <w:uiPriority w:val="21"/>
    <w:qFormat/>
    <w:rsid w:val="00633A10"/>
    <w:rPr>
      <w:b/>
      <w:bCs/>
      <w:caps/>
      <w:color w:val="773F04" w:themeColor="accent1" w:themeShade="7F"/>
      <w:spacing w:val="10"/>
    </w:rPr>
  </w:style>
  <w:style w:type="paragraph" w:styleId="IntenseQuote">
    <w:name w:val="Intense Quote"/>
    <w:basedOn w:val="Normal"/>
    <w:next w:val="Normal"/>
    <w:link w:val="IntenseQuoteChar"/>
    <w:uiPriority w:val="30"/>
    <w:qFormat/>
    <w:rsid w:val="00633A10"/>
    <w:pPr>
      <w:spacing w:before="240" w:after="240" w:line="240" w:lineRule="auto"/>
      <w:ind w:left="1080" w:right="1080"/>
      <w:jc w:val="center"/>
    </w:pPr>
    <w:rPr>
      <w:color w:val="F07F09" w:themeColor="accent1"/>
      <w:sz w:val="24"/>
      <w:szCs w:val="24"/>
    </w:rPr>
  </w:style>
  <w:style w:type="character" w:customStyle="1" w:styleId="IntenseQuoteChar">
    <w:name w:val="Intense Quote Char"/>
    <w:basedOn w:val="DefaultParagraphFont"/>
    <w:link w:val="IntenseQuote"/>
    <w:uiPriority w:val="30"/>
    <w:rsid w:val="00633A10"/>
    <w:rPr>
      <w:color w:val="F07F09" w:themeColor="accent1"/>
      <w:sz w:val="24"/>
      <w:szCs w:val="24"/>
    </w:rPr>
  </w:style>
  <w:style w:type="character" w:styleId="IntenseReference">
    <w:name w:val="Intense Reference"/>
    <w:uiPriority w:val="32"/>
    <w:qFormat/>
    <w:rsid w:val="00633A10"/>
    <w:rPr>
      <w:b/>
      <w:bCs/>
      <w:i/>
      <w:iCs/>
      <w:caps/>
      <w:color w:val="F07F09" w:themeColor="accent1"/>
    </w:rPr>
  </w:style>
  <w:style w:type="paragraph" w:styleId="TOCHeading">
    <w:name w:val="TOC Heading"/>
    <w:basedOn w:val="Heading1"/>
    <w:next w:val="Normal"/>
    <w:uiPriority w:val="39"/>
    <w:unhideWhenUsed/>
    <w:qFormat/>
    <w:rsid w:val="00633A10"/>
    <w:pPr>
      <w:outlineLvl w:val="9"/>
    </w:pPr>
  </w:style>
  <w:style w:type="paragraph" w:styleId="TOC1">
    <w:name w:val="toc 1"/>
    <w:basedOn w:val="Normal"/>
    <w:next w:val="Normal"/>
    <w:autoRedefine/>
    <w:uiPriority w:val="39"/>
    <w:unhideWhenUsed/>
    <w:rsid w:val="00B658C0"/>
    <w:pPr>
      <w:spacing w:after="100"/>
    </w:pPr>
  </w:style>
  <w:style w:type="character" w:styleId="Hyperlink">
    <w:name w:val="Hyperlink"/>
    <w:basedOn w:val="DefaultParagraphFont"/>
    <w:uiPriority w:val="99"/>
    <w:unhideWhenUsed/>
    <w:rsid w:val="00B658C0"/>
    <w:rPr>
      <w:color w:val="000000" w:themeColor="hyperlink"/>
      <w:u w:val="single"/>
    </w:rPr>
  </w:style>
  <w:style w:type="paragraph" w:styleId="TOC2">
    <w:name w:val="toc 2"/>
    <w:basedOn w:val="Normal"/>
    <w:next w:val="Normal"/>
    <w:autoRedefine/>
    <w:uiPriority w:val="39"/>
    <w:unhideWhenUsed/>
    <w:rsid w:val="00B658C0"/>
    <w:pPr>
      <w:spacing w:after="100"/>
      <w:ind w:left="240"/>
    </w:pPr>
  </w:style>
  <w:style w:type="character" w:styleId="UnresolvedMention">
    <w:name w:val="Unresolved Mention"/>
    <w:basedOn w:val="DefaultParagraphFont"/>
    <w:uiPriority w:val="99"/>
    <w:semiHidden/>
    <w:unhideWhenUsed/>
    <w:rsid w:val="00633A10"/>
    <w:rPr>
      <w:color w:val="605E5C"/>
      <w:shd w:val="clear" w:color="auto" w:fill="E1DFDD"/>
    </w:rPr>
  </w:style>
  <w:style w:type="paragraph" w:styleId="Caption">
    <w:name w:val="caption"/>
    <w:basedOn w:val="Normal"/>
    <w:next w:val="Normal"/>
    <w:uiPriority w:val="35"/>
    <w:semiHidden/>
    <w:unhideWhenUsed/>
    <w:qFormat/>
    <w:rsid w:val="00633A10"/>
    <w:rPr>
      <w:b/>
      <w:bCs/>
      <w:color w:val="B35E06" w:themeColor="accent1" w:themeShade="BF"/>
      <w:sz w:val="16"/>
      <w:szCs w:val="16"/>
    </w:rPr>
  </w:style>
  <w:style w:type="character" w:styleId="Strong">
    <w:name w:val="Strong"/>
    <w:uiPriority w:val="22"/>
    <w:qFormat/>
    <w:rsid w:val="00633A10"/>
    <w:rPr>
      <w:b/>
      <w:bCs/>
    </w:rPr>
  </w:style>
  <w:style w:type="character" w:styleId="Emphasis">
    <w:name w:val="Emphasis"/>
    <w:uiPriority w:val="20"/>
    <w:qFormat/>
    <w:rsid w:val="00633A10"/>
    <w:rPr>
      <w:caps/>
      <w:color w:val="773F04" w:themeColor="accent1" w:themeShade="7F"/>
      <w:spacing w:val="5"/>
    </w:rPr>
  </w:style>
  <w:style w:type="paragraph" w:styleId="NoSpacing">
    <w:name w:val="No Spacing"/>
    <w:uiPriority w:val="1"/>
    <w:qFormat/>
    <w:rsid w:val="00633A10"/>
    <w:pPr>
      <w:spacing w:after="0" w:line="240" w:lineRule="auto"/>
    </w:pPr>
  </w:style>
  <w:style w:type="character" w:styleId="SubtleEmphasis">
    <w:name w:val="Subtle Emphasis"/>
    <w:uiPriority w:val="19"/>
    <w:qFormat/>
    <w:rsid w:val="00633A10"/>
    <w:rPr>
      <w:i/>
      <w:iCs/>
      <w:color w:val="773F04" w:themeColor="accent1" w:themeShade="7F"/>
    </w:rPr>
  </w:style>
  <w:style w:type="character" w:styleId="SubtleReference">
    <w:name w:val="Subtle Reference"/>
    <w:uiPriority w:val="31"/>
    <w:qFormat/>
    <w:rsid w:val="00633A10"/>
    <w:rPr>
      <w:b/>
      <w:bCs/>
      <w:color w:val="F07F09" w:themeColor="accent1"/>
    </w:rPr>
  </w:style>
  <w:style w:type="character" w:styleId="BookTitle">
    <w:name w:val="Book Title"/>
    <w:uiPriority w:val="33"/>
    <w:qFormat/>
    <w:rsid w:val="00633A10"/>
    <w:rPr>
      <w:b/>
      <w:bCs/>
      <w:i/>
      <w:iCs/>
      <w:spacing w:val="0"/>
    </w:rPr>
  </w:style>
  <w:style w:type="character" w:styleId="FollowedHyperlink">
    <w:name w:val="FollowedHyperlink"/>
    <w:basedOn w:val="DefaultParagraphFont"/>
    <w:uiPriority w:val="99"/>
    <w:semiHidden/>
    <w:unhideWhenUsed/>
    <w:rsid w:val="00BC44B9"/>
    <w:rPr>
      <w:color w:val="000000" w:themeColor="followedHyperlink"/>
      <w:u w:val="single"/>
    </w:rPr>
  </w:style>
  <w:style w:type="paragraph" w:styleId="Header">
    <w:name w:val="header"/>
    <w:basedOn w:val="Normal"/>
    <w:link w:val="HeaderChar"/>
    <w:uiPriority w:val="99"/>
    <w:unhideWhenUsed/>
    <w:rsid w:val="003A2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BF3"/>
  </w:style>
  <w:style w:type="paragraph" w:styleId="Footer">
    <w:name w:val="footer"/>
    <w:basedOn w:val="Normal"/>
    <w:link w:val="FooterChar"/>
    <w:uiPriority w:val="99"/>
    <w:unhideWhenUsed/>
    <w:rsid w:val="003A2B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BF3"/>
  </w:style>
  <w:style w:type="paragraph" w:styleId="TOC3">
    <w:name w:val="toc 3"/>
    <w:basedOn w:val="Normal"/>
    <w:next w:val="Normal"/>
    <w:autoRedefine/>
    <w:uiPriority w:val="39"/>
    <w:unhideWhenUsed/>
    <w:rsid w:val="00AB3522"/>
    <w:pPr>
      <w:spacing w:after="100"/>
      <w:ind w:left="400"/>
    </w:pPr>
  </w:style>
  <w:style w:type="paragraph" w:styleId="Revision">
    <w:name w:val="Revision"/>
    <w:hidden/>
    <w:uiPriority w:val="99"/>
    <w:semiHidden/>
    <w:rsid w:val="00CC6AE2"/>
    <w:pPr>
      <w:spacing w:after="0" w:line="240" w:lineRule="auto"/>
    </w:pPr>
  </w:style>
  <w:style w:type="table" w:styleId="TableGrid">
    <w:name w:val="Table Grid"/>
    <w:basedOn w:val="TableNormal"/>
    <w:uiPriority w:val="39"/>
    <w:rsid w:val="003A1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4263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4263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1">
    <w:name w:val="Grid Table 4 Accent 1"/>
    <w:basedOn w:val="TableNormal"/>
    <w:uiPriority w:val="49"/>
    <w:rsid w:val="00A83561"/>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smartunderwriting.sf-dev.net/engagement/edit/90d0c856-f80a-4952-6670-08de6a4de67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000000"/>
      </a:hlink>
      <a:folHlink>
        <a:srgbClr val="000000"/>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F83F3-6E70-4EE3-B175-907ABB739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1915</Words>
  <Characters>10113</Characters>
  <Application>Microsoft Office Word</Application>
  <DocSecurity>0</DocSecurity>
  <Lines>240</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Smith</dc:creator>
  <cp:keywords/>
  <dc:description/>
  <cp:lastModifiedBy>Steve Smith</cp:lastModifiedBy>
  <cp:revision>3</cp:revision>
  <dcterms:created xsi:type="dcterms:W3CDTF">2026-03-12T11:19:00Z</dcterms:created>
  <dcterms:modified xsi:type="dcterms:W3CDTF">2026-03-12T11:49:00Z</dcterms:modified>
</cp:coreProperties>
</file>